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212BB" w:rsidRDefault="00CA64F7">
      <w:pPr>
        <w:widowControl w:val="0"/>
        <w:pBdr>
          <w:top w:val="nil"/>
          <w:left w:val="nil"/>
          <w:bottom w:val="nil"/>
          <w:right w:val="nil"/>
          <w:between w:val="nil"/>
        </w:pBdr>
        <w:spacing w:after="0" w:line="276" w:lineRule="auto"/>
      </w:pPr>
      <w:r>
        <w:pict w14:anchorId="44A101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728;visibility:hidden">
            <o:lock v:ext="edit" selection="t"/>
          </v:shape>
        </w:pict>
      </w:r>
    </w:p>
    <w:p w14:paraId="00000002" w14:textId="77777777" w:rsidR="00B212BB" w:rsidRDefault="00B212BB">
      <w:pPr>
        <w:rPr>
          <w:sz w:val="28"/>
          <w:szCs w:val="28"/>
        </w:rPr>
      </w:pPr>
    </w:p>
    <w:p w14:paraId="00000003" w14:textId="249EB0ED" w:rsidR="00B212BB" w:rsidRDefault="00A5255B">
      <w:pPr>
        <w:jc w:val="center"/>
        <w:rPr>
          <w:b/>
          <w:sz w:val="28"/>
          <w:szCs w:val="28"/>
        </w:rPr>
      </w:pPr>
      <w:r>
        <w:rPr>
          <w:b/>
          <w:sz w:val="28"/>
          <w:szCs w:val="28"/>
        </w:rPr>
        <w:t>ESTRATTO DEL DOCUMENTO DI STRATEGIA DI “GESTIONE INTEGRATA PER</w:t>
      </w:r>
      <w:r w:rsidR="002C10CE">
        <w:rPr>
          <w:b/>
          <w:sz w:val="28"/>
          <w:szCs w:val="28"/>
        </w:rPr>
        <w:t xml:space="preserve"> </w:t>
      </w:r>
      <w:r>
        <w:rPr>
          <w:b/>
          <w:sz w:val="28"/>
          <w:szCs w:val="28"/>
        </w:rPr>
        <w:t>LA DIFESA E L’ADATTAMENTO DELLA COSTA AI CAMBIAMENTI CLIMATICI – GIDAC” IN COSTRUZIONE, RELATIVO ALLA</w:t>
      </w:r>
    </w:p>
    <w:p w14:paraId="00000004" w14:textId="77777777" w:rsidR="00B212BB" w:rsidRDefault="00A5255B">
      <w:pPr>
        <w:jc w:val="center"/>
        <w:rPr>
          <w:b/>
          <w:sz w:val="28"/>
          <w:szCs w:val="28"/>
        </w:rPr>
      </w:pPr>
      <w:r>
        <w:rPr>
          <w:b/>
          <w:sz w:val="28"/>
          <w:szCs w:val="28"/>
        </w:rPr>
        <w:t>PARTE C) INDIRIZZI</w:t>
      </w:r>
    </w:p>
    <w:p w14:paraId="00000005" w14:textId="77777777" w:rsidR="00B212BB" w:rsidRDefault="00B212BB">
      <w:pPr>
        <w:jc w:val="center"/>
        <w:rPr>
          <w:b/>
          <w:sz w:val="36"/>
          <w:szCs w:val="36"/>
        </w:rPr>
      </w:pPr>
    </w:p>
    <w:p w14:paraId="00000006" w14:textId="77777777" w:rsidR="00B212BB" w:rsidRDefault="00A5255B">
      <w:pPr>
        <w:rPr>
          <w:b/>
          <w:sz w:val="24"/>
          <w:szCs w:val="24"/>
        </w:rPr>
      </w:pPr>
      <w:r>
        <w:rPr>
          <w:b/>
          <w:sz w:val="24"/>
          <w:szCs w:val="24"/>
        </w:rPr>
        <w:t>C.1 INDIRIZZI PER LE AZIONI DI SISTEMA, ADATTAMENTO, MANUTENZIONE</w:t>
      </w:r>
    </w:p>
    <w:p w14:paraId="00000007" w14:textId="77777777" w:rsidR="00B212BB" w:rsidRDefault="00A5255B">
      <w:pPr>
        <w:shd w:val="clear" w:color="auto" w:fill="E7E6E6"/>
        <w:rPr>
          <w:b/>
        </w:rPr>
      </w:pPr>
      <w:r>
        <w:rPr>
          <w:b/>
        </w:rPr>
        <w:t>AZIONI DI SISTEMA</w:t>
      </w:r>
    </w:p>
    <w:p w14:paraId="00000008" w14:textId="77777777" w:rsidR="00B212BB" w:rsidRDefault="00A5255B">
      <w:pPr>
        <w:ind w:left="709" w:hanging="709"/>
      </w:pPr>
      <w:r>
        <w:t>C.1.1 -</w:t>
      </w:r>
      <w:r>
        <w:tab/>
        <w:t xml:space="preserve">Indirizzi per la costruzione di un “Patto per la Costa” </w:t>
      </w:r>
    </w:p>
    <w:p w14:paraId="00000009" w14:textId="77777777" w:rsidR="00B212BB" w:rsidRDefault="00A5255B">
      <w:pPr>
        <w:ind w:left="709" w:hanging="709"/>
      </w:pPr>
      <w:r>
        <w:t>C.1.2 -</w:t>
      </w:r>
      <w:r>
        <w:tab/>
        <w:t xml:space="preserve">Indirizzi per un Sistema integrato di gestione degli Accumuli Litoranei di sedimenti </w:t>
      </w:r>
    </w:p>
    <w:p w14:paraId="0000000A" w14:textId="77777777" w:rsidR="00B212BB" w:rsidRDefault="00A5255B">
      <w:pPr>
        <w:ind w:left="709" w:hanging="709"/>
      </w:pPr>
      <w:r>
        <w:t xml:space="preserve">C.1.3 - </w:t>
      </w:r>
      <w:r>
        <w:tab/>
        <w:t xml:space="preserve">Indirizzi per azioni e interventi volti a favorire il Trasporto Solido fluviale e lungo costa </w:t>
      </w:r>
    </w:p>
    <w:p w14:paraId="0000000B" w14:textId="77777777" w:rsidR="00B212BB" w:rsidRDefault="00A5255B">
      <w:pPr>
        <w:ind w:left="709" w:hanging="709"/>
        <w:jc w:val="both"/>
      </w:pPr>
      <w:r>
        <w:t xml:space="preserve">C.1.4 - </w:t>
      </w:r>
      <w:r>
        <w:tab/>
        <w:t xml:space="preserve">Indirizzi per Interventi di Ripascimento Straordinari con Sabbie Off-shore e per la gestione sostenibile dei Depositi Sottomarini </w:t>
      </w:r>
    </w:p>
    <w:p w14:paraId="0000000C" w14:textId="77777777" w:rsidR="00B212BB" w:rsidRDefault="00A5255B">
      <w:pPr>
        <w:ind w:left="709" w:hanging="709"/>
        <w:jc w:val="both"/>
      </w:pPr>
      <w:r>
        <w:t>C.1.5 -</w:t>
      </w:r>
      <w:r>
        <w:tab/>
        <w:t xml:space="preserve">Indirizzi per azioni rivolte ad una ulteriore Riduzione della Subsidenza nella sua componente antropica </w:t>
      </w:r>
    </w:p>
    <w:p w14:paraId="0000000D" w14:textId="77777777" w:rsidR="00B212BB" w:rsidRDefault="00A5255B">
      <w:pPr>
        <w:ind w:left="709" w:hanging="709"/>
        <w:jc w:val="both"/>
      </w:pPr>
      <w:r>
        <w:t>C.1.6 -</w:t>
      </w:r>
      <w:r>
        <w:tab/>
        <w:t xml:space="preserve">Indirizzi per la destinazione delle Sabbie da Scavi di interventi edilizi e infrastrutturali in fascia litoranea alla manutenzione e ripascimento costiero </w:t>
      </w:r>
    </w:p>
    <w:p w14:paraId="0000000E" w14:textId="77777777" w:rsidR="00B212BB" w:rsidRDefault="00A5255B">
      <w:pPr>
        <w:shd w:val="clear" w:color="auto" w:fill="E7E6E6"/>
        <w:rPr>
          <w:b/>
        </w:rPr>
      </w:pPr>
      <w:r>
        <w:rPr>
          <w:b/>
        </w:rPr>
        <w:t>AZIONI E INTERVENTI PER L’ADATTAMENTO</w:t>
      </w:r>
    </w:p>
    <w:p w14:paraId="0000000F" w14:textId="77777777" w:rsidR="00B212BB" w:rsidRDefault="00A5255B">
      <w:pPr>
        <w:ind w:left="709" w:hanging="709"/>
        <w:jc w:val="both"/>
      </w:pPr>
      <w:r>
        <w:t>C.1.7 -</w:t>
      </w:r>
      <w:r>
        <w:tab/>
        <w:t xml:space="preserve">Indirizzi per interventi di riqualificazione dei fronti mare e di adattamento e difesa della costa </w:t>
      </w:r>
    </w:p>
    <w:p w14:paraId="00000010" w14:textId="77777777" w:rsidR="00B212BB" w:rsidRDefault="00A5255B">
      <w:pPr>
        <w:ind w:left="709" w:hanging="709"/>
        <w:jc w:val="both"/>
      </w:pPr>
      <w:r>
        <w:t>C.1.8 -</w:t>
      </w:r>
      <w:r>
        <w:tab/>
        <w:t xml:space="preserve">Indirizzi per interventi di riqualificazione urbanistica e infrastrutturale ai fini della riduzione della vulnerabilità in ambito costiero </w:t>
      </w:r>
    </w:p>
    <w:p w14:paraId="00000011" w14:textId="77777777" w:rsidR="00B212BB" w:rsidRDefault="00A5255B">
      <w:pPr>
        <w:ind w:left="709" w:hanging="709"/>
        <w:jc w:val="both"/>
      </w:pPr>
      <w:r>
        <w:t xml:space="preserve">C.1.9 - </w:t>
      </w:r>
      <w:r>
        <w:tab/>
        <w:t xml:space="preserve">Indirizzi per il potenziamento del sistema di allertamento costiero </w:t>
      </w:r>
    </w:p>
    <w:p w14:paraId="00000012" w14:textId="77777777" w:rsidR="00B212BB" w:rsidRDefault="00A5255B">
      <w:pPr>
        <w:ind w:left="709" w:hanging="709"/>
        <w:jc w:val="both"/>
      </w:pPr>
      <w:r>
        <w:t>C.1.10 -</w:t>
      </w:r>
      <w:r>
        <w:tab/>
        <w:t xml:space="preserve">Indirizzi per l’arretramento di strutture e infrastrutture antropiche </w:t>
      </w:r>
    </w:p>
    <w:p w14:paraId="00000013" w14:textId="77777777" w:rsidR="00B212BB" w:rsidRDefault="00A5255B">
      <w:pPr>
        <w:ind w:left="709" w:hanging="709"/>
        <w:jc w:val="both"/>
      </w:pPr>
      <w:r>
        <w:t>C.1.11 -</w:t>
      </w:r>
      <w:r>
        <w:tab/>
        <w:t xml:space="preserve">Indirizzi per l’allargamento e adeguamento altimetrico del sistema spiaggia </w:t>
      </w:r>
    </w:p>
    <w:p w14:paraId="00000014" w14:textId="77777777" w:rsidR="00B212BB" w:rsidRDefault="00A5255B">
      <w:pPr>
        <w:shd w:val="clear" w:color="auto" w:fill="E7E6E6"/>
        <w:rPr>
          <w:b/>
        </w:rPr>
      </w:pPr>
      <w:r>
        <w:rPr>
          <w:b/>
        </w:rPr>
        <w:t>AZIONI E INTERVENTI DI MANUTENZIONE E ADEGUAMENTO</w:t>
      </w:r>
    </w:p>
    <w:p w14:paraId="00000015" w14:textId="77777777" w:rsidR="00B212BB" w:rsidRDefault="00A5255B">
      <w:pPr>
        <w:ind w:left="709" w:hanging="709"/>
        <w:jc w:val="both"/>
      </w:pPr>
      <w:r>
        <w:t>C.1.12 -</w:t>
      </w:r>
      <w:r>
        <w:tab/>
        <w:t xml:space="preserve">Indirizzi per la manutenzione ordinaria delle spiagge attraverso un sistema integrato di gestione dei sedimenti della fascia litoranea </w:t>
      </w:r>
    </w:p>
    <w:p w14:paraId="00000016" w14:textId="77777777" w:rsidR="00B212BB" w:rsidRDefault="00A5255B">
      <w:pPr>
        <w:ind w:left="709" w:hanging="709"/>
        <w:jc w:val="both"/>
      </w:pPr>
      <w:r>
        <w:t>C.1.13 -</w:t>
      </w:r>
      <w:r>
        <w:tab/>
        <w:t xml:space="preserve">Indirizzi per la manutenzione e riqualificazione delle opere di difesa a mare </w:t>
      </w:r>
    </w:p>
    <w:p w14:paraId="00000017" w14:textId="77777777" w:rsidR="00B212BB" w:rsidRDefault="00A5255B">
      <w:pPr>
        <w:ind w:left="709" w:hanging="709"/>
        <w:jc w:val="both"/>
      </w:pPr>
      <w:r>
        <w:t>C.1.14 -</w:t>
      </w:r>
      <w:r>
        <w:tab/>
        <w:t xml:space="preserve">Indirizzi per la manutenzione, ripristino e adeguamento in quota delle difese radenti e degli argini di difesa interni </w:t>
      </w:r>
    </w:p>
    <w:p w14:paraId="00000018" w14:textId="77777777" w:rsidR="00B212BB" w:rsidRDefault="00A5255B">
      <w:pPr>
        <w:ind w:left="709" w:hanging="709"/>
        <w:jc w:val="both"/>
      </w:pPr>
      <w:r>
        <w:t>C.1.15 -</w:t>
      </w:r>
      <w:r>
        <w:tab/>
        <w:t xml:space="preserve">Indirizzi per l’adeguamento altimetrico, rialzo di fronti e banchine portuali e dei porti canale </w:t>
      </w:r>
    </w:p>
    <w:p w14:paraId="00000019" w14:textId="77777777" w:rsidR="00B212BB" w:rsidRDefault="00A5255B">
      <w:pPr>
        <w:rPr>
          <w:b/>
          <w:sz w:val="24"/>
          <w:szCs w:val="24"/>
        </w:rPr>
      </w:pPr>
      <w:r>
        <w:rPr>
          <w:b/>
          <w:sz w:val="24"/>
          <w:szCs w:val="24"/>
        </w:rPr>
        <w:t>C.2 INDIRIZZI PER AZIONI A CARATTERE TRASVERSALE</w:t>
      </w:r>
    </w:p>
    <w:p w14:paraId="0000001A" w14:textId="77777777" w:rsidR="00B212BB" w:rsidRDefault="00A5255B">
      <w:pPr>
        <w:ind w:left="709" w:hanging="709"/>
        <w:jc w:val="both"/>
      </w:pPr>
      <w:r>
        <w:t>C.2.1 -</w:t>
      </w:r>
      <w:r>
        <w:tab/>
        <w:t xml:space="preserve">Aggiornamento e sviluppo del quadro conoscitivo sul sistema costiero regionale </w:t>
      </w:r>
    </w:p>
    <w:p w14:paraId="0000001B" w14:textId="77777777" w:rsidR="00B212BB" w:rsidRDefault="00A5255B">
      <w:pPr>
        <w:ind w:left="709" w:hanging="709"/>
        <w:jc w:val="both"/>
      </w:pPr>
      <w:r>
        <w:t>C.2.2 -</w:t>
      </w:r>
      <w:r>
        <w:tab/>
        <w:t xml:space="preserve">Analisi e valutazione costi-benefici degli interventi di difesa e di trasformazione del territorio costiero. </w:t>
      </w:r>
    </w:p>
    <w:p w14:paraId="0000001D" w14:textId="67FB777A" w:rsidR="00B212BB" w:rsidRDefault="00A5255B">
      <w:pPr>
        <w:rPr>
          <w:b/>
          <w:sz w:val="28"/>
          <w:szCs w:val="28"/>
        </w:rPr>
      </w:pPr>
      <w:r>
        <w:br w:type="page"/>
      </w:r>
      <w:r>
        <w:rPr>
          <w:b/>
          <w:sz w:val="28"/>
          <w:szCs w:val="28"/>
        </w:rPr>
        <w:lastRenderedPageBreak/>
        <w:t>C.1 INDIRIZZI PER LE AZIONI DI SISTEMA, ADATTAMENTO, MANUTENZIONE</w:t>
      </w:r>
    </w:p>
    <w:p w14:paraId="0000001E" w14:textId="77777777" w:rsidR="00B212BB" w:rsidRDefault="00A5255B">
      <w:pPr>
        <w:shd w:val="clear" w:color="auto" w:fill="D9D9D9"/>
        <w:rPr>
          <w:sz w:val="28"/>
          <w:szCs w:val="28"/>
        </w:rPr>
      </w:pPr>
      <w:r>
        <w:rPr>
          <w:sz w:val="28"/>
          <w:szCs w:val="28"/>
        </w:rPr>
        <w:t>AZIONI DI SISTEMA</w:t>
      </w:r>
    </w:p>
    <w:p w14:paraId="0000001F" w14:textId="77777777" w:rsidR="00B212BB" w:rsidRDefault="00A5255B">
      <w:pPr>
        <w:jc w:val="both"/>
      </w:pPr>
      <w:r>
        <w:rPr>
          <w:b/>
        </w:rPr>
        <w:t xml:space="preserve">C.1.1 – Indirizzi per la costruzione di un “Patto per la Costa” </w:t>
      </w:r>
      <w:r>
        <w:t xml:space="preserve">(Rif. </w:t>
      </w:r>
      <w:r>
        <w:rPr>
          <w:highlight w:val="lightGray"/>
        </w:rPr>
        <w:t>Azioni AS-1</w:t>
      </w:r>
      <w:r>
        <w:t>)</w:t>
      </w:r>
    </w:p>
    <w:p w14:paraId="00000020" w14:textId="77777777" w:rsidR="00B212BB" w:rsidRDefault="00A5255B">
      <w:pPr>
        <w:jc w:val="both"/>
      </w:pPr>
      <w:r>
        <w:rPr>
          <w:u w:val="single"/>
        </w:rPr>
        <w:t>Soggetti</w:t>
      </w:r>
      <w:r>
        <w:t>: Regione, Comuni, Province, altri Enti territoriali (Consorzi di bonifica, Enti gestori aree protette), portatori d’interesse, Associazioni di categoria, balneari, pesca, ricezione turistica, Associazioni ambientaliste</w:t>
      </w:r>
    </w:p>
    <w:p w14:paraId="00000021" w14:textId="77777777" w:rsidR="00B212BB" w:rsidRDefault="00A5255B">
      <w:pPr>
        <w:spacing w:after="0"/>
        <w:jc w:val="both"/>
      </w:pPr>
      <w:r>
        <w:t>Il “Patto per la Costa” è mirato a costituire lo strumento di governance per l’attuazione della Strategia GIDAC ed è pensato sul modello del “Patto per il Lavoro e per il Clima”</w:t>
      </w:r>
      <w:r>
        <w:rPr>
          <w:vertAlign w:val="superscript"/>
        </w:rPr>
        <w:footnoteReference w:id="1"/>
      </w:r>
      <w:r>
        <w:t xml:space="preserve"> condiviso e sottoscritto con il partenariato istituzionale, economico e sociale regionale. Nel caso specifico il partenariato coinvolto sarà costituito da Enti e portatori d’interesse in ambito costiero. </w:t>
      </w:r>
    </w:p>
    <w:p w14:paraId="00000022" w14:textId="77777777" w:rsidR="00B212BB" w:rsidRDefault="00A5255B">
      <w:pPr>
        <w:jc w:val="both"/>
      </w:pPr>
      <w:r>
        <w:t>Si tratta di un Patto basato sulle relazioni tra istituzioni, rappresentanze economiche e sociali, sul reciproco riconoscimento del ruolo che ciascuno dei soggetti firmatari svolge nella società, sulla condivisione di obiettivi strategici e sull’assunzione di responsabilità, ognuno per il proprio ruolo, nell’attuazione di azioni che concorrono al raggiungimento degli obiettivi della GIDAC. Per il Patto da costruire a valle della Strategia si tracciano le seguenti linee di indirizzo, da discutere e mettere a punto nel processo di costruzione del Patto stesso:</w:t>
      </w:r>
    </w:p>
    <w:p w14:paraId="00000023" w14:textId="77777777" w:rsidR="00B212BB" w:rsidRDefault="00A5255B">
      <w:pPr>
        <w:spacing w:after="0"/>
        <w:ind w:left="851" w:hanging="851"/>
        <w:jc w:val="both"/>
      </w:pPr>
      <w:r>
        <w:t>AS-1.1 -</w:t>
      </w:r>
      <w:r>
        <w:tab/>
      </w:r>
      <w:r>
        <w:rPr>
          <w:b/>
        </w:rPr>
        <w:t>Caratteristiche del “Patto per la Costa”</w:t>
      </w:r>
      <w:r>
        <w:t xml:space="preserve"> </w:t>
      </w:r>
    </w:p>
    <w:p w14:paraId="00000024" w14:textId="77777777" w:rsidR="00B212BB" w:rsidRDefault="00A5255B">
      <w:pPr>
        <w:spacing w:after="0"/>
        <w:jc w:val="both"/>
      </w:pPr>
      <w:r>
        <w:t xml:space="preserve">Il Patto riprenderà </w:t>
      </w:r>
      <w:r>
        <w:rPr>
          <w:b/>
        </w:rPr>
        <w:t>vision, linee direttrici, obiettivi e azioni</w:t>
      </w:r>
      <w:r>
        <w:t xml:space="preserve"> proposte dalla strategia GIDAC, con una particolare attenzione a processi trasversali quali:</w:t>
      </w:r>
    </w:p>
    <w:p w14:paraId="00000025" w14:textId="77777777" w:rsidR="00B212BB" w:rsidRDefault="00A5255B">
      <w:pPr>
        <w:numPr>
          <w:ilvl w:val="0"/>
          <w:numId w:val="4"/>
        </w:numPr>
        <w:pBdr>
          <w:top w:val="nil"/>
          <w:left w:val="nil"/>
          <w:bottom w:val="nil"/>
          <w:right w:val="nil"/>
          <w:between w:val="nil"/>
        </w:pBdr>
        <w:spacing w:after="0"/>
        <w:ind w:left="426" w:hanging="284"/>
        <w:jc w:val="both"/>
      </w:pPr>
      <w:r>
        <w:rPr>
          <w:color w:val="000000"/>
        </w:rPr>
        <w:t>co-</w:t>
      </w:r>
      <w:proofErr w:type="spellStart"/>
      <w:r>
        <w:rPr>
          <w:color w:val="000000"/>
        </w:rPr>
        <w:t>beneficialità</w:t>
      </w:r>
      <w:proofErr w:type="spellEnd"/>
      <w:r>
        <w:rPr>
          <w:color w:val="000000"/>
        </w:rPr>
        <w:t xml:space="preserve"> delle azioni di mitigazione-adattamento al cambiamento climatico</w:t>
      </w:r>
    </w:p>
    <w:p w14:paraId="00000026" w14:textId="77777777" w:rsidR="00B212BB" w:rsidRDefault="00A5255B">
      <w:pPr>
        <w:numPr>
          <w:ilvl w:val="0"/>
          <w:numId w:val="4"/>
        </w:numPr>
        <w:pBdr>
          <w:top w:val="nil"/>
          <w:left w:val="nil"/>
          <w:bottom w:val="nil"/>
          <w:right w:val="nil"/>
          <w:between w:val="nil"/>
        </w:pBdr>
        <w:spacing w:after="0"/>
        <w:ind w:left="426" w:hanging="284"/>
        <w:jc w:val="both"/>
      </w:pPr>
      <w:r>
        <w:rPr>
          <w:color w:val="000000"/>
        </w:rPr>
        <w:t>integrazione tra le esigenze, le azioni e i processi del territorio costiero e dell’interno (“non solo costa”)</w:t>
      </w:r>
    </w:p>
    <w:p w14:paraId="00000027" w14:textId="77777777" w:rsidR="00B212BB" w:rsidRDefault="00A5255B">
      <w:pPr>
        <w:numPr>
          <w:ilvl w:val="0"/>
          <w:numId w:val="4"/>
        </w:numPr>
        <w:pBdr>
          <w:top w:val="nil"/>
          <w:left w:val="nil"/>
          <w:bottom w:val="nil"/>
          <w:right w:val="nil"/>
          <w:between w:val="nil"/>
        </w:pBdr>
        <w:spacing w:after="0"/>
        <w:ind w:left="426" w:hanging="284"/>
        <w:jc w:val="both"/>
      </w:pPr>
      <w:r>
        <w:rPr>
          <w:color w:val="000000"/>
        </w:rPr>
        <w:t>ampia partecipazione, responsabilizzazione e cooperazione tra soggetti pubblici e privati</w:t>
      </w:r>
    </w:p>
    <w:p w14:paraId="00000028" w14:textId="77777777" w:rsidR="00B212BB" w:rsidRDefault="00A5255B">
      <w:pPr>
        <w:numPr>
          <w:ilvl w:val="0"/>
          <w:numId w:val="4"/>
        </w:numPr>
        <w:pBdr>
          <w:top w:val="nil"/>
          <w:left w:val="nil"/>
          <w:bottom w:val="nil"/>
          <w:right w:val="nil"/>
          <w:between w:val="nil"/>
        </w:pBdr>
        <w:ind w:left="426" w:hanging="284"/>
        <w:jc w:val="both"/>
      </w:pPr>
      <w:r>
        <w:rPr>
          <w:color w:val="000000"/>
        </w:rPr>
        <w:t>sviluppo economico, sociale e tutela ambientale (“una costa viva e sostenibile”)</w:t>
      </w:r>
    </w:p>
    <w:p w14:paraId="00000029" w14:textId="77777777" w:rsidR="00B212BB" w:rsidRDefault="00A5255B">
      <w:pPr>
        <w:spacing w:after="0"/>
        <w:jc w:val="both"/>
      </w:pPr>
      <w:r>
        <w:t xml:space="preserve">La </w:t>
      </w:r>
      <w:r>
        <w:rPr>
          <w:b/>
        </w:rPr>
        <w:t>governance</w:t>
      </w:r>
      <w:r>
        <w:t xml:space="preserve"> del Patto si attuerà attraverso l’impegno degli aderenti/firmatari a incontrarsi periodicamente e ad interagire su piattaforma digitale dedicata alla consultazione e condivisione per: </w:t>
      </w:r>
    </w:p>
    <w:p w14:paraId="0000002A" w14:textId="77777777" w:rsidR="00B212BB" w:rsidRDefault="00A5255B">
      <w:pPr>
        <w:numPr>
          <w:ilvl w:val="0"/>
          <w:numId w:val="4"/>
        </w:numPr>
        <w:pBdr>
          <w:top w:val="nil"/>
          <w:left w:val="nil"/>
          <w:bottom w:val="nil"/>
          <w:right w:val="nil"/>
          <w:between w:val="nil"/>
        </w:pBdr>
        <w:tabs>
          <w:tab w:val="left" w:pos="426"/>
        </w:tabs>
        <w:spacing w:after="0"/>
        <w:ind w:left="142" w:firstLine="0"/>
        <w:jc w:val="both"/>
      </w:pPr>
      <w:r>
        <w:rPr>
          <w:color w:val="000000"/>
        </w:rPr>
        <w:t>verificare lo stato di sviluppo e attuazione del Patto</w:t>
      </w:r>
    </w:p>
    <w:p w14:paraId="0000002B" w14:textId="77777777" w:rsidR="00B212BB" w:rsidRDefault="00A5255B">
      <w:pPr>
        <w:numPr>
          <w:ilvl w:val="0"/>
          <w:numId w:val="4"/>
        </w:numPr>
        <w:pBdr>
          <w:top w:val="nil"/>
          <w:left w:val="nil"/>
          <w:bottom w:val="nil"/>
          <w:right w:val="nil"/>
          <w:between w:val="nil"/>
        </w:pBdr>
        <w:tabs>
          <w:tab w:val="left" w:pos="426"/>
        </w:tabs>
        <w:spacing w:after="0"/>
        <w:ind w:left="142" w:firstLine="0"/>
        <w:jc w:val="both"/>
      </w:pPr>
      <w:r>
        <w:rPr>
          <w:color w:val="000000"/>
        </w:rPr>
        <w:t>contribuire ad aggiornare il quadro conoscitivo su cui si basa la Strategia GIDAC</w:t>
      </w:r>
    </w:p>
    <w:p w14:paraId="0000002C" w14:textId="77777777" w:rsidR="00B212BB" w:rsidRDefault="00A5255B">
      <w:pPr>
        <w:numPr>
          <w:ilvl w:val="0"/>
          <w:numId w:val="4"/>
        </w:numPr>
        <w:pBdr>
          <w:top w:val="nil"/>
          <w:left w:val="nil"/>
          <w:bottom w:val="nil"/>
          <w:right w:val="nil"/>
          <w:between w:val="nil"/>
        </w:pBdr>
        <w:tabs>
          <w:tab w:val="left" w:pos="426"/>
        </w:tabs>
        <w:spacing w:after="0"/>
        <w:ind w:left="142" w:firstLine="0"/>
        <w:jc w:val="both"/>
      </w:pPr>
      <w:r>
        <w:rPr>
          <w:color w:val="000000"/>
        </w:rPr>
        <w:t xml:space="preserve">eventuale riorientamento degli obiettivi e delle modalità di attuazione della Strategia e del Patto </w:t>
      </w:r>
    </w:p>
    <w:p w14:paraId="0000002D" w14:textId="77777777" w:rsidR="00B212BB" w:rsidRDefault="00A5255B">
      <w:pPr>
        <w:numPr>
          <w:ilvl w:val="0"/>
          <w:numId w:val="4"/>
        </w:numPr>
        <w:pBdr>
          <w:top w:val="nil"/>
          <w:left w:val="nil"/>
          <w:bottom w:val="nil"/>
          <w:right w:val="nil"/>
          <w:between w:val="nil"/>
        </w:pBdr>
        <w:tabs>
          <w:tab w:val="left" w:pos="426"/>
        </w:tabs>
        <w:ind w:left="142" w:firstLine="0"/>
        <w:jc w:val="both"/>
      </w:pPr>
      <w:r>
        <w:rPr>
          <w:color w:val="000000"/>
        </w:rPr>
        <w:t>valutazione su possibili sviluppi in connessione al Patto e alla Strategia</w:t>
      </w:r>
    </w:p>
    <w:p w14:paraId="0000002E" w14:textId="77777777" w:rsidR="00B212BB" w:rsidRDefault="00A5255B">
      <w:pPr>
        <w:jc w:val="both"/>
      </w:pPr>
      <w:r>
        <w:t xml:space="preserve">La </w:t>
      </w:r>
      <w:r>
        <w:rPr>
          <w:b/>
        </w:rPr>
        <w:t>partecipazione,</w:t>
      </w:r>
      <w:r>
        <w:t xml:space="preserve"> oltre ai soggetti aderenti/firmatari del Patto, dovrà coinvolgere quanto più possibile anche la popolazione e altri portatori d’interesse, anche attraverso la piattaforma digitale dedicata (PartecipAzioni, “Che Costa Sarà?”). Il Patto dovrà sviluppare un proprio Piano di comunicazione e mantenere un contatto continuo, mutuo e costruttivo con la popolazione e i soggetti portatori di interesse in senso lato per diffondere i risultati e gli sviluppi delle azioni e raccogliere e mettere a frutto gli stimoli in ritorno. Gli Enti e soggetti firmatari che partecipano dovranno indicare i propri referenti, anche per quanto riguarda le attività di comunicazione del Patto.</w:t>
      </w:r>
    </w:p>
    <w:p w14:paraId="0000002F" w14:textId="77777777" w:rsidR="00B212BB" w:rsidRDefault="00A5255B">
      <w:pPr>
        <w:spacing w:before="240" w:after="240" w:line="276" w:lineRule="auto"/>
        <w:jc w:val="both"/>
      </w:pPr>
      <w:r>
        <w:t xml:space="preserve">Il </w:t>
      </w:r>
      <w:r>
        <w:rPr>
          <w:b/>
        </w:rPr>
        <w:t>monitoraggio</w:t>
      </w:r>
      <w:r>
        <w:t xml:space="preserve"> del Patto e della Strategia richiederà di stabilire una struttura o gruppo di lavoro che gestisca la fase di monitoraggio. Gli aderenti al Patto si impegnano a fornire i dati e le informazioni necessarie al monitoraggio dell’attuazione del Patto stesso (chi deve fornire, in che forma e quando, chi gestisce ed elabora i dati). Dovranno essere individuati indicatori specifici di funzionamento del Patto legati ai livelli di partecipazione ai processi del Patto e di attuazione (delibere, atti) a livello locale e sovralocale delle azioni legate alla Strategia, attraverso dati e informazioni utili a monitorare l’efficacia e l’impatto delle azioni della Strategia GIDAC.</w:t>
      </w:r>
    </w:p>
    <w:p w14:paraId="00000030" w14:textId="77777777" w:rsidR="00B212BB" w:rsidRDefault="00A5255B">
      <w:pPr>
        <w:spacing w:after="0" w:line="240" w:lineRule="auto"/>
        <w:jc w:val="both"/>
        <w:rPr>
          <w:b/>
        </w:rPr>
      </w:pPr>
      <w:r>
        <w:rPr>
          <w:b/>
          <w:sz w:val="24"/>
          <w:szCs w:val="24"/>
        </w:rPr>
        <w:lastRenderedPageBreak/>
        <w:t>C.1.2 – Indirizzi per un Sistema integrato di gestione degli accumuli litoranei di sedimenti</w:t>
      </w:r>
      <w:r>
        <w:rPr>
          <w:b/>
        </w:rPr>
        <w:t xml:space="preserve"> </w:t>
      </w:r>
      <w:r>
        <w:t>(</w:t>
      </w:r>
      <w:r>
        <w:rPr>
          <w:highlight w:val="lightGray"/>
        </w:rPr>
        <w:t>Azioni AS-2</w:t>
      </w:r>
      <w:r>
        <w:t>)</w:t>
      </w:r>
    </w:p>
    <w:p w14:paraId="00000031" w14:textId="77777777" w:rsidR="00B212BB" w:rsidRDefault="00A5255B">
      <w:pPr>
        <w:jc w:val="both"/>
      </w:pPr>
      <w:r>
        <w:rPr>
          <w:u w:val="single"/>
        </w:rPr>
        <w:t>Soggetti</w:t>
      </w:r>
      <w:r>
        <w:t>: Regione, ARSTPC, Comuni, ARPAE, Enti gestori dei porti</w:t>
      </w:r>
    </w:p>
    <w:p w14:paraId="00000032" w14:textId="77777777" w:rsidR="00B212BB" w:rsidRDefault="00A5255B">
      <w:pPr>
        <w:jc w:val="both"/>
      </w:pPr>
      <w:bookmarkStart w:id="0" w:name="_heading=h.gjdgxs" w:colFirst="0" w:colLast="0"/>
      <w:bookmarkEnd w:id="0"/>
      <w:r>
        <w:t>I sovra-accumuli di sedimenti in corrispondenza di moli aggettanti, imboccature portuali, opere di difesa, aree di accumulo naturali (punti di convergenza dell’idrodinamica costiera) vanno generalmente a costituire problematiche che devono essere gestite come opportunità per altre zone in deficit sedimentario. Mettere a punto un sistema integrato di gestione degli accumuli litoranei significa comporre un quadro delle risorse disponibili, aree di prelievo, e poter programmare e operare in maniera coordinata la movimentazione di volumi di sedimenti laddove sono in eccesso e/o rappresentano un problema, a favore di tratti costieri critici posti entro una certa distanza in rapporto alle soluzioni di movimentazione previste. I metodi di movimentazione possono essere i dragaggi, interventi spot o impianti di bypass permanenti che operano in un limitato tempo, oppure impianti con dispositivi per gestire in continuo la sedimentazione ed evitare il formarsi degli accumuli indesiderati. Per ogni macro-cella o gruppi di Celle litoranee (con riferimento al sistema SICELL</w:t>
      </w:r>
      <w:r>
        <w:rPr>
          <w:vertAlign w:val="superscript"/>
        </w:rPr>
        <w:footnoteReference w:id="2"/>
      </w:r>
      <w:r>
        <w:t xml:space="preserve">) è opportuno individuare e monitorare le zone di accumulo idonee in relazione alla distanza dai tratti in erosione su cui è necessario intervenire periodicamente e studiare, mettere a punto, un procedimento autorizzativo che agevoli le operazioni di gestione ordinaria a carattere ricorrente. </w:t>
      </w:r>
    </w:p>
    <w:p w14:paraId="00000033" w14:textId="77777777" w:rsidR="00B212BB" w:rsidRDefault="00A5255B">
      <w:pPr>
        <w:jc w:val="both"/>
      </w:pPr>
      <w:r>
        <w:t>A tale scopo si individuano le seguenti linee di indirizzo:</w:t>
      </w:r>
    </w:p>
    <w:p w14:paraId="00000034" w14:textId="77777777" w:rsidR="00B212BB" w:rsidRDefault="00A5255B">
      <w:pPr>
        <w:pBdr>
          <w:top w:val="nil"/>
          <w:left w:val="nil"/>
          <w:bottom w:val="nil"/>
          <w:right w:val="nil"/>
          <w:between w:val="nil"/>
        </w:pBdr>
        <w:spacing w:after="60"/>
        <w:ind w:left="993" w:hanging="851"/>
        <w:jc w:val="both"/>
        <w:rPr>
          <w:color w:val="000000"/>
        </w:rPr>
      </w:pPr>
      <w:r>
        <w:rPr>
          <w:color w:val="000000"/>
        </w:rPr>
        <w:t>AS-2.1 -</w:t>
      </w:r>
      <w:r>
        <w:rPr>
          <w:color w:val="000000"/>
        </w:rPr>
        <w:tab/>
      </w:r>
      <w:r>
        <w:rPr>
          <w:b/>
          <w:color w:val="000000"/>
        </w:rPr>
        <w:t>Aree di potenziale prelievo</w:t>
      </w:r>
      <w:r>
        <w:rPr>
          <w:color w:val="000000"/>
        </w:rPr>
        <w:t>: sulla base del quadro conoscitivo più aggiornato (costituito dalle diverse banche dati tematiche del SIC</w:t>
      </w:r>
      <w:r>
        <w:rPr>
          <w:color w:val="000000"/>
          <w:vertAlign w:val="superscript"/>
        </w:rPr>
        <w:footnoteReference w:id="3"/>
      </w:r>
      <w:r>
        <w:rPr>
          <w:color w:val="000000"/>
        </w:rPr>
        <w:t xml:space="preserve">) vengono individuate le zone dove è possibile prelevare e trasferire i sedimenti in accumulo, con riferimento alle banche dati tematiche delle Celle litoranee (SICELL) e DB Ripascimenti, classificando le zone di potenziale prelievo e quelle di possibile destinazione. </w:t>
      </w:r>
    </w:p>
    <w:p w14:paraId="00000035" w14:textId="77777777" w:rsidR="00B212BB" w:rsidRDefault="00A5255B">
      <w:pPr>
        <w:pBdr>
          <w:top w:val="nil"/>
          <w:left w:val="nil"/>
          <w:bottom w:val="nil"/>
          <w:right w:val="nil"/>
          <w:between w:val="nil"/>
        </w:pBdr>
        <w:spacing w:after="60"/>
        <w:ind w:left="993" w:hanging="851"/>
        <w:jc w:val="both"/>
        <w:rPr>
          <w:color w:val="000000"/>
        </w:rPr>
      </w:pPr>
      <w:r>
        <w:rPr>
          <w:color w:val="000000"/>
        </w:rPr>
        <w:t>AS-2.2 -</w:t>
      </w:r>
      <w:r>
        <w:rPr>
          <w:color w:val="000000"/>
        </w:rPr>
        <w:tab/>
      </w:r>
      <w:r>
        <w:rPr>
          <w:b/>
          <w:color w:val="000000"/>
        </w:rPr>
        <w:t>Banca dati tematica per la gestione degli accumuli costieri</w:t>
      </w:r>
      <w:r>
        <w:rPr>
          <w:color w:val="000000"/>
        </w:rPr>
        <w:t xml:space="preserve">: sviluppo e costante aggiornamento, in collaborazione con ARSTPC, Comuni, Enti gestori dei porti, di una banca dati per la gestione degli accumuli costieri, integrata nel DB Ripascimenti e sistema SICELL, alimentata dal monitoraggio sistematico delle movimentazioni dei sedimenti, volumi e tipologia, cui si aggiunge la qualità dei sedimenti negli ultimi monitoraggi effettuati secondo la normativa vigente (con riferimento al successivo punto AS-2.5). </w:t>
      </w:r>
    </w:p>
    <w:p w14:paraId="00000036" w14:textId="77777777" w:rsidR="00B212BB" w:rsidRDefault="00A5255B">
      <w:pPr>
        <w:pBdr>
          <w:top w:val="nil"/>
          <w:left w:val="nil"/>
          <w:bottom w:val="nil"/>
          <w:right w:val="nil"/>
          <w:between w:val="nil"/>
        </w:pBdr>
        <w:spacing w:after="60"/>
        <w:ind w:left="993" w:hanging="851"/>
        <w:jc w:val="both"/>
        <w:rPr>
          <w:color w:val="000000"/>
        </w:rPr>
      </w:pPr>
      <w:r>
        <w:rPr>
          <w:color w:val="000000"/>
        </w:rPr>
        <w:t>AS-2.3 -</w:t>
      </w:r>
      <w:r>
        <w:rPr>
          <w:color w:val="000000"/>
        </w:rPr>
        <w:tab/>
        <w:t>“</w:t>
      </w:r>
      <w:r>
        <w:rPr>
          <w:b/>
          <w:color w:val="000000"/>
        </w:rPr>
        <w:t>Tratti litoranei significativi ai fini gestionali - TLS”</w:t>
      </w:r>
      <w:r>
        <w:rPr>
          <w:color w:val="000000"/>
        </w:rPr>
        <w:t>: sulla base delle necessità di movimentazione dei sedimenti per la gestione delle zone critiche per erosione, vengono individuati tratti litoranei nell’ambito dei quali effettuare operazioni ricorrenti per la gestione e manutenzione ordinaria, in una logica di sostenibilità e in funzione delle tecniche di movimentazione in uso o previste, stimando i volumi prelevabili periodicamente e le destinazioni ricorrenti, predisponendo apposite schede (Schede di TLS) con le relative informazioni spaziali e dei dati disponibili, o da analisi da effettuare, sulle caratteristiche dei sedimenti delle celle di prelievo e di destinazione.</w:t>
      </w:r>
    </w:p>
    <w:p w14:paraId="00000037" w14:textId="77777777" w:rsidR="00B212BB" w:rsidRDefault="00A5255B">
      <w:pPr>
        <w:pBdr>
          <w:top w:val="nil"/>
          <w:left w:val="nil"/>
          <w:bottom w:val="nil"/>
          <w:right w:val="nil"/>
          <w:between w:val="nil"/>
        </w:pBdr>
        <w:spacing w:after="60"/>
        <w:ind w:left="993" w:hanging="851"/>
        <w:jc w:val="both"/>
        <w:rPr>
          <w:color w:val="000000"/>
        </w:rPr>
      </w:pPr>
      <w:r>
        <w:rPr>
          <w:color w:val="000000"/>
        </w:rPr>
        <w:t>AS-2.4 -</w:t>
      </w:r>
      <w:r>
        <w:rPr>
          <w:color w:val="000000"/>
        </w:rPr>
        <w:tab/>
      </w:r>
      <w:r>
        <w:rPr>
          <w:b/>
          <w:color w:val="000000"/>
        </w:rPr>
        <w:t>Campagne di analisi sui sedimenti litoranei</w:t>
      </w:r>
      <w:r>
        <w:rPr>
          <w:color w:val="000000"/>
        </w:rPr>
        <w:t>. Programmare campagne di analisi dei sedimenti in conformità al DM n. 173/2016, per corredare le Schede di “tratto litoraneo significativo ai fini gestionali”, poter stimare i volumi di materiali disponibili e meglio organizzare i ripascimenti e/o i ripristini delle difese a mare realizzate in sabbia;</w:t>
      </w:r>
    </w:p>
    <w:p w14:paraId="00000038" w14:textId="77777777" w:rsidR="00B212BB" w:rsidRDefault="00A5255B">
      <w:pPr>
        <w:pBdr>
          <w:top w:val="nil"/>
          <w:left w:val="nil"/>
          <w:bottom w:val="nil"/>
          <w:right w:val="nil"/>
          <w:between w:val="nil"/>
        </w:pBdr>
        <w:ind w:left="993" w:hanging="851"/>
        <w:jc w:val="both"/>
        <w:rPr>
          <w:color w:val="000000"/>
        </w:rPr>
      </w:pPr>
      <w:r>
        <w:rPr>
          <w:color w:val="000000"/>
        </w:rPr>
        <w:t>AS-2.5 -</w:t>
      </w:r>
      <w:r>
        <w:rPr>
          <w:color w:val="000000"/>
        </w:rPr>
        <w:tab/>
      </w:r>
      <w:r>
        <w:rPr>
          <w:b/>
          <w:color w:val="000000"/>
        </w:rPr>
        <w:t>Procedimento autorizzativo semplificato per le movimentazioni ricorrenti</w:t>
      </w:r>
      <w:r>
        <w:rPr>
          <w:color w:val="000000"/>
        </w:rPr>
        <w:t>. Con riferimento alle Schede di TLS, definire in relazione alla normativa vigente</w:t>
      </w:r>
      <w:r>
        <w:rPr>
          <w:color w:val="000000"/>
          <w:vertAlign w:val="superscript"/>
        </w:rPr>
        <w:footnoteReference w:id="4"/>
      </w:r>
      <w:r>
        <w:rPr>
          <w:color w:val="000000"/>
        </w:rPr>
        <w:t xml:space="preserve"> e in collaborazione con ARPAE, un procedimento autorizzativo semplificato che permetta di arrivare ad un’autorizzazione con </w:t>
      </w:r>
      <w:r>
        <w:rPr>
          <w:color w:val="000000"/>
        </w:rPr>
        <w:lastRenderedPageBreak/>
        <w:t>validità pluriennale per ogni TLS in base alla quale poter procedere rapidamente con le operazioni di gestione in rapporto ad esigenze ordinarie o di emergenza nell’ambito dello stesso TLS.</w:t>
      </w:r>
    </w:p>
    <w:p w14:paraId="00000039" w14:textId="77777777" w:rsidR="00B212BB" w:rsidRDefault="00B212BB"/>
    <w:p w14:paraId="0000003A" w14:textId="77777777" w:rsidR="00B212BB" w:rsidRDefault="00A5255B">
      <w:r>
        <w:rPr>
          <w:b/>
        </w:rPr>
        <w:t xml:space="preserve">C.1.3 - Indirizzi per azioni e interventi volti a favorire il trasporto solido fluviale e lungo costa </w:t>
      </w:r>
      <w:r>
        <w:t>(</w:t>
      </w:r>
      <w:r>
        <w:rPr>
          <w:highlight w:val="lightGray"/>
        </w:rPr>
        <w:t>Azioni AS-3</w:t>
      </w:r>
      <w:r>
        <w:t>)</w:t>
      </w:r>
    </w:p>
    <w:p w14:paraId="0000003B" w14:textId="77777777" w:rsidR="00B212BB" w:rsidRDefault="00A5255B">
      <w:pPr>
        <w:jc w:val="both"/>
      </w:pPr>
      <w:r>
        <w:rPr>
          <w:u w:val="single"/>
        </w:rPr>
        <w:t>Soggetti</w:t>
      </w:r>
      <w:r>
        <w:t>: Regione, ARSTPC, AIPO, Autorità di Bacino Distrettuale del fiume Po, Consorzi di Bonifica, Enti gestori di invasi artificiali, Enti gestori dei porti</w:t>
      </w:r>
    </w:p>
    <w:p w14:paraId="0000003C" w14:textId="77777777" w:rsidR="00B212BB" w:rsidRDefault="00A5255B">
      <w:pPr>
        <w:spacing w:after="0"/>
        <w:jc w:val="both"/>
      </w:pPr>
      <w:r>
        <w:t xml:space="preserve">Sono azioni che riguardano la manutenzione e gestione dei corsi d’acqua, dei loro sedimenti e delle opere idrauliche e interventi di adeguamento di opere costiere o di by-pass delle stesse, ai fini di un ripristino del trasporto solido fluviale utile all’alimentazione naturale delle spiagge e alla distribuzione dei sedimenti lungo costa. </w:t>
      </w:r>
    </w:p>
    <w:p w14:paraId="0000003D" w14:textId="77777777" w:rsidR="00B212BB" w:rsidRDefault="00A5255B">
      <w:pPr>
        <w:spacing w:after="0"/>
        <w:jc w:val="both"/>
      </w:pPr>
      <w:r>
        <w:t xml:space="preserve">In particolare, per quanto attiene la rete idrografica, tali azioni si inquadrano nell’ambito della predisposizione dei programmi di gestione dei sedimenti, specifici strumenti conoscitivi, gestionali e di programmazione degli interventi, mediante i quali disciplinare le attività di manutenzione degli alvei, delle opere e di gestione dei sedimenti, previsti dall’art. 117, comma 2 quater del </w:t>
      </w:r>
      <w:proofErr w:type="spellStart"/>
      <w:r>
        <w:t>D.Lgs.</w:t>
      </w:r>
      <w:proofErr w:type="spellEnd"/>
      <w:r>
        <w:t xml:space="preserve"> 152/2006: i programmi di gestione dei sedimenti vanno predisposti per i corsi d‘acqua a livello di bacino idrografico e si configurano come strumenti di pianificazione integrata che rispondono agli obiettivi della Direttiva quadro Acque e della Direttiva 2007/60/CE Alluvioni, concorrendo all’attuazione dell’articolo 7, comma 2, del Decreto-Legge 12 settembre 2014, n. 133, convertito, con modificazioni, dalla legge 11 novembre 2014, n. 16</w:t>
      </w:r>
    </w:p>
    <w:p w14:paraId="0000003E" w14:textId="77777777" w:rsidR="00B212BB" w:rsidRDefault="00A5255B">
      <w:pPr>
        <w:jc w:val="both"/>
      </w:pPr>
      <w:r>
        <w:t xml:space="preserve">Tale insieme di azioni necessita di una preparazione accompagnata da complessi approfondimenti conoscitivi e di tempi lunghi, quando implementate, per mostrare i loro effetti: devono essere, quindi, prese in considerazione oggi in prospettiva di fabbisogni di sedimenti che in futuro potranno non essere più soddisfatti dai depositi off-shore o da altre fonti esterne al sistema litoraneo. </w:t>
      </w:r>
    </w:p>
    <w:p w14:paraId="0000003F" w14:textId="77777777" w:rsidR="00B212BB" w:rsidRDefault="00A5255B">
      <w:pPr>
        <w:spacing w:after="120"/>
      </w:pPr>
      <w:r>
        <w:t xml:space="preserve">Allo scopo si individuano le seguenti linee di indirizzo: </w:t>
      </w:r>
    </w:p>
    <w:p w14:paraId="00000040" w14:textId="77777777" w:rsidR="00B212BB" w:rsidRDefault="00A5255B">
      <w:pPr>
        <w:spacing w:after="120"/>
        <w:ind w:left="993" w:hanging="993"/>
        <w:jc w:val="both"/>
      </w:pPr>
      <w:r>
        <w:t>AS-3.1 -</w:t>
      </w:r>
      <w:r>
        <w:tab/>
      </w:r>
      <w:r>
        <w:rPr>
          <w:b/>
        </w:rPr>
        <w:t>Banca dati tematica sul trasporto solido fluviale.</w:t>
      </w:r>
      <w:r>
        <w:t xml:space="preserve"> Sviluppo di una banca dati tematica, in collaborazione con l’Autorità di Bacino del fiume Po, per la gestione delle informazioni relative al trasporto solido fluviale e per la gestione dei sedimenti fluviali, con individuazione di zone di sovralluvionamento o di accumuli di sedimenti lungo i corsi d’acqua e in corrispondenza delle opere idrauliche trasversali. Tale azione deve essere svolta in stretto rapporto con la predisposizione dei programmi generali di gestione dei sedimenti di cui al punto successivo.</w:t>
      </w:r>
    </w:p>
    <w:p w14:paraId="00000041" w14:textId="77777777" w:rsidR="00B212BB" w:rsidRDefault="00A5255B">
      <w:pPr>
        <w:pBdr>
          <w:top w:val="nil"/>
          <w:left w:val="nil"/>
          <w:bottom w:val="nil"/>
          <w:right w:val="nil"/>
          <w:between w:val="nil"/>
        </w:pBdr>
        <w:spacing w:after="120"/>
        <w:ind w:left="993" w:hanging="851"/>
        <w:jc w:val="both"/>
        <w:rPr>
          <w:color w:val="000000"/>
        </w:rPr>
      </w:pPr>
      <w:r>
        <w:rPr>
          <w:color w:val="000000"/>
        </w:rPr>
        <w:t>AS-3.2 -</w:t>
      </w:r>
      <w:r>
        <w:rPr>
          <w:color w:val="000000"/>
        </w:rPr>
        <w:tab/>
      </w:r>
      <w:r>
        <w:rPr>
          <w:b/>
          <w:color w:val="000000"/>
        </w:rPr>
        <w:t>Azioni volte a favorire il trasporto solido fluviale</w:t>
      </w:r>
      <w:r>
        <w:rPr>
          <w:color w:val="000000"/>
        </w:rPr>
        <w:t xml:space="preserve">. Sulla base delle informazioni raccolte e degli studi e approfondimenti conoscitivi, sviluppare i programmi di gestione dei sedimenti, secondo il cronoprogramma stabilito nel PGRA e </w:t>
      </w:r>
      <w:proofErr w:type="spellStart"/>
      <w:r>
        <w:rPr>
          <w:color w:val="000000"/>
        </w:rPr>
        <w:t>PdG</w:t>
      </w:r>
      <w:proofErr w:type="spellEnd"/>
      <w:r>
        <w:rPr>
          <w:color w:val="000000"/>
        </w:rPr>
        <w:t xml:space="preserve"> vigenti. Essi prevedono di migliorare, le tecniche di manutenzione e gestione degli alvei e i programmi di gestione della vegetazione ripariale, volti a favorire la mobilitazione e il trasporto dei sedimenti da parte dei corsi d’acqua. Obiettivo fondamentale è riequilibrare il bilancio solido, recuperando la capacità di espansione nelle aree perifluviali, migliorando la funzionalità ecologica e la qualità paesaggistica dei corsi d’acqua anche attraverso adeguamento di opere idrauliche o di by-pass che permettano la movimentazione massiva dei sedimenti e la formazione di accumuli indesiderati. Una particolare attenzione andrà posta sui corsi d’acqua appenninici tributari del fiume Po e sui corsi d’acqua, e relativi tributari, che sfociano direttamente in Adriatico.</w:t>
      </w:r>
    </w:p>
    <w:p w14:paraId="00000042" w14:textId="77777777" w:rsidR="00B212BB" w:rsidRDefault="00A5255B">
      <w:pPr>
        <w:pBdr>
          <w:top w:val="nil"/>
          <w:left w:val="nil"/>
          <w:bottom w:val="nil"/>
          <w:right w:val="nil"/>
          <w:between w:val="nil"/>
        </w:pBdr>
        <w:spacing w:after="120"/>
        <w:ind w:left="993" w:hanging="851"/>
        <w:jc w:val="both"/>
        <w:rPr>
          <w:color w:val="000000"/>
        </w:rPr>
      </w:pPr>
      <w:r>
        <w:rPr>
          <w:color w:val="000000"/>
        </w:rPr>
        <w:t>AS-3.3 -</w:t>
      </w:r>
      <w:r>
        <w:rPr>
          <w:color w:val="000000"/>
        </w:rPr>
        <w:tab/>
      </w:r>
      <w:r>
        <w:rPr>
          <w:b/>
          <w:color w:val="000000"/>
        </w:rPr>
        <w:t>Stima dei volumi di sedimenti intrappolati negli invasi idrici</w:t>
      </w:r>
      <w:r>
        <w:rPr>
          <w:color w:val="000000"/>
        </w:rPr>
        <w:t xml:space="preserve">. Nell’ambito dei programmi di gestione degli invasi di cui all’art. 114 del </w:t>
      </w:r>
      <w:proofErr w:type="spellStart"/>
      <w:r>
        <w:rPr>
          <w:color w:val="000000"/>
        </w:rPr>
        <w:t>D.Lgs</w:t>
      </w:r>
      <w:proofErr w:type="spellEnd"/>
      <w:r>
        <w:rPr>
          <w:color w:val="000000"/>
        </w:rPr>
        <w:t xml:space="preserve"> 152/2006, effettuare una ricognizione, in collaborazione con gli Enti gestori degli invasi artificiali lungo i corsi d’acqua tributari del fiume Po gli altri fiumi sfocianti direttamente in Adriatico sui volumi e la qualità dei sedimenti intrappolati, da integrare nella banca dati del trasporto solido.  </w:t>
      </w:r>
    </w:p>
    <w:p w14:paraId="00000043" w14:textId="77777777" w:rsidR="00B212BB" w:rsidRDefault="00A5255B">
      <w:pPr>
        <w:pBdr>
          <w:top w:val="nil"/>
          <w:left w:val="nil"/>
          <w:bottom w:val="nil"/>
          <w:right w:val="nil"/>
          <w:between w:val="nil"/>
        </w:pBdr>
        <w:spacing w:after="120"/>
        <w:ind w:left="993" w:hanging="851"/>
        <w:jc w:val="both"/>
        <w:rPr>
          <w:color w:val="000000"/>
        </w:rPr>
      </w:pPr>
      <w:r>
        <w:rPr>
          <w:color w:val="000000"/>
        </w:rPr>
        <w:t>AS-3.4 -</w:t>
      </w:r>
      <w:r>
        <w:rPr>
          <w:color w:val="000000"/>
        </w:rPr>
        <w:tab/>
      </w:r>
      <w:r>
        <w:rPr>
          <w:b/>
          <w:color w:val="000000"/>
        </w:rPr>
        <w:t>Azioni e interventi per il by-pass di sedimenti dagli invasi idrici</w:t>
      </w:r>
      <w:r>
        <w:rPr>
          <w:color w:val="000000"/>
        </w:rPr>
        <w:t xml:space="preserve">. Nell’ambito dei programmi di gestione degli invasi di cui all’art. 114 del </w:t>
      </w:r>
      <w:proofErr w:type="spellStart"/>
      <w:r>
        <w:rPr>
          <w:color w:val="000000"/>
        </w:rPr>
        <w:t>D.Lgs</w:t>
      </w:r>
      <w:proofErr w:type="spellEnd"/>
      <w:r>
        <w:rPr>
          <w:color w:val="000000"/>
        </w:rPr>
        <w:t xml:space="preserve"> 152/2006, sulla base delle informazioni raccolte </w:t>
      </w:r>
      <w:r>
        <w:rPr>
          <w:color w:val="000000"/>
        </w:rPr>
        <w:lastRenderedPageBreak/>
        <w:t xml:space="preserve">nella ricognizione e nel data base, valutare per ogni caso individuato, in collaborazione con gli Enti gestori, l’opportunità e le eventuali necessità di gestione con le modalità tecniche e le migliori tecnologie di by-pass disponibili volte a “restituire” i sedimenti al reticolo idrografico a valle della diga e al recupero anche parziale e mantenimento della capacità d’invaso, comunque nel rispetto della tutela della qualità del corpo idrico recettore e degli obiettivi di qualità del medesimo stabiliti dal </w:t>
      </w:r>
      <w:proofErr w:type="spellStart"/>
      <w:r>
        <w:rPr>
          <w:color w:val="000000"/>
        </w:rPr>
        <w:t>PdG</w:t>
      </w:r>
      <w:proofErr w:type="spellEnd"/>
      <w:r>
        <w:rPr>
          <w:color w:val="000000"/>
        </w:rPr>
        <w:t xml:space="preserve"> vigente. Nei casi individuati opportuni, progettare azioni e interventi per il by-pass dei sedimenti considerando sia l’applicazione di tecniche di movimentazione massiva sia applicazioni e dispositivi di gestione in continuo e di controllo della sedimentazione a evitare il formarsi o riformarsi degli accumuli indesiderati.</w:t>
      </w:r>
    </w:p>
    <w:p w14:paraId="00000044" w14:textId="77777777" w:rsidR="00B212BB" w:rsidRDefault="00A5255B">
      <w:pPr>
        <w:pBdr>
          <w:top w:val="nil"/>
          <w:left w:val="nil"/>
          <w:bottom w:val="nil"/>
          <w:right w:val="nil"/>
          <w:between w:val="nil"/>
        </w:pBdr>
        <w:spacing w:after="120"/>
        <w:ind w:left="993" w:hanging="851"/>
        <w:jc w:val="both"/>
        <w:rPr>
          <w:color w:val="000000"/>
        </w:rPr>
      </w:pPr>
      <w:r>
        <w:rPr>
          <w:color w:val="000000"/>
        </w:rPr>
        <w:t>AS-3.5 -</w:t>
      </w:r>
      <w:r>
        <w:rPr>
          <w:color w:val="000000"/>
        </w:rPr>
        <w:tab/>
      </w:r>
      <w:r>
        <w:rPr>
          <w:b/>
          <w:color w:val="000000"/>
        </w:rPr>
        <w:t>Azioni e interventi volti a favorire il trasporto solido lungo costa</w:t>
      </w:r>
      <w:r>
        <w:rPr>
          <w:color w:val="000000"/>
        </w:rPr>
        <w:t>. Sulla base delle informazioni raccolte nella banca dati di cui al punto AS-2.2, sovra-accumuli costieri in prossimità di strutture aggettanti, opere di difesa trasversali o moli portuali, valutare le modalità tecniche e le migliori tecnologie disponibili per il by-pass di sedimenti stimando i volumi mobilizzabili a favore delle macro-celle o celle litoranee sottoflutto. Nei casi opportuni progettare interventi per il by-pass in relazione all’applicazione di tecniche di movimentazione massiva (dragaggi) e/o all’applicazione di tecnologie per la gestione e controllo in continuo della sedimentazione a evitare il formarsi o riformarsi degli accumuli indesiderati.</w:t>
      </w:r>
    </w:p>
    <w:p w14:paraId="00000045" w14:textId="77777777" w:rsidR="00B212BB" w:rsidRDefault="00A5255B">
      <w:pPr>
        <w:pBdr>
          <w:top w:val="nil"/>
          <w:left w:val="nil"/>
          <w:bottom w:val="nil"/>
          <w:right w:val="nil"/>
          <w:between w:val="nil"/>
        </w:pBdr>
        <w:spacing w:after="0"/>
        <w:ind w:left="993" w:hanging="851"/>
        <w:jc w:val="both"/>
        <w:rPr>
          <w:color w:val="000000"/>
        </w:rPr>
      </w:pPr>
      <w:r>
        <w:rPr>
          <w:color w:val="000000"/>
        </w:rPr>
        <w:t>AS-3.6 -</w:t>
      </w:r>
      <w:r>
        <w:rPr>
          <w:color w:val="000000"/>
        </w:rPr>
        <w:tab/>
      </w:r>
      <w:r>
        <w:rPr>
          <w:b/>
          <w:color w:val="000000"/>
        </w:rPr>
        <w:t>Studi e approfondimenti sul trasporto solido lungo la costa regionale</w:t>
      </w:r>
      <w:r>
        <w:rPr>
          <w:color w:val="000000"/>
        </w:rPr>
        <w:t xml:space="preserve">. Prevedere studi e approfondimenti finalizzati a meglio comprendere le dinamiche del trasporto solido e delle sue implicazioni sui fenomeni erosivi, di accumulo lungo costa e delle perdite di sedimenti dal sistema verso il largo. Le attuali conoscenze sul trasporto solido lungo la costa regionale sono principalmente derivate dalla interpretazione dei dati delle campagne topo-batimetriche effettuate ogni </w:t>
      </w:r>
      <w:proofErr w:type="gramStart"/>
      <w:r>
        <w:rPr>
          <w:color w:val="000000"/>
        </w:rPr>
        <w:t>5</w:t>
      </w:r>
      <w:proofErr w:type="gramEnd"/>
      <w:r>
        <w:rPr>
          <w:color w:val="000000"/>
        </w:rPr>
        <w:t xml:space="preserve"> anni. Sono necessarie quindi attività di studio e di campagne di indagine, con risorse dedicate, per una conoscenza più approfondita del fenomeno finalizzata ad una migliore gestione dei litorali.</w:t>
      </w:r>
    </w:p>
    <w:p w14:paraId="00000046" w14:textId="77777777" w:rsidR="00B212BB" w:rsidRDefault="00B212BB">
      <w:pPr>
        <w:pBdr>
          <w:top w:val="nil"/>
          <w:left w:val="nil"/>
          <w:bottom w:val="nil"/>
          <w:right w:val="nil"/>
          <w:between w:val="nil"/>
        </w:pBdr>
        <w:ind w:left="993" w:hanging="851"/>
        <w:jc w:val="both"/>
        <w:rPr>
          <w:color w:val="000000"/>
        </w:rPr>
      </w:pPr>
    </w:p>
    <w:p w14:paraId="00000047" w14:textId="77777777" w:rsidR="00B212BB" w:rsidRDefault="00A5255B">
      <w:pPr>
        <w:jc w:val="both"/>
        <w:rPr>
          <w:b/>
        </w:rPr>
      </w:pPr>
      <w:r>
        <w:rPr>
          <w:b/>
        </w:rPr>
        <w:t xml:space="preserve">C.1.4 – Indirizzi per interventi di ripascimento straordinari con sabbie off-shore e per la gestione sostenibile dei depositi sottomarini </w:t>
      </w:r>
      <w:r>
        <w:t>(</w:t>
      </w:r>
      <w:r>
        <w:rPr>
          <w:highlight w:val="lightGray"/>
        </w:rPr>
        <w:t>Azioni AS-4</w:t>
      </w:r>
      <w:r>
        <w:t>)</w:t>
      </w:r>
    </w:p>
    <w:p w14:paraId="00000048" w14:textId="77777777" w:rsidR="00B212BB" w:rsidRDefault="00A5255B">
      <w:pPr>
        <w:jc w:val="both"/>
      </w:pPr>
      <w:r>
        <w:rPr>
          <w:u w:val="single"/>
        </w:rPr>
        <w:t>Soggetti</w:t>
      </w:r>
      <w:r>
        <w:t>: Regione, Comuni, Province, CNR-ISMAR, ARPAE, ARSTPC</w:t>
      </w:r>
    </w:p>
    <w:p w14:paraId="00000049" w14:textId="77777777" w:rsidR="00B212BB" w:rsidRDefault="00A5255B">
      <w:pPr>
        <w:jc w:val="both"/>
      </w:pPr>
      <w:r>
        <w:t xml:space="preserve">I volumi di sedimenti nei depositi sottomarini (o anche DMSR: depositi marini di sabbie relitte) investigati fino ad oggi al largo della costa regionale sono stimati in circa 300 milioni di metri cubi, in parte sabbie fini e in parte limi sabbiosi. Pur non interamente sfruttabili rappresentano una consistente riserva strategica per la nostra costa. Gli interventi con tali apporti di sabbia, che con le dinamiche marine si distribuiscono lungo più ampi tratti nella stessa macro-cella litoranea, rappresentano oggi la principale fonte di alimentazione con sabbie esterne al sistema costiero regionale. Sono quindi contributi preziosi per il bilancio sedimentario costiero. Sono però risorse non rinnovabili, in quanto eredità di un ambiente deposizionale oggi non più alimentato. Devono essere quindi oggetto di un’attenta gestione e di uno sfruttamento sostenibile (motivo per cui la RER ha sviluppato la banca dati tematica </w:t>
      </w:r>
      <w:proofErr w:type="spellStart"/>
      <w:r>
        <w:t>in_Sand</w:t>
      </w:r>
      <w:proofErr w:type="spellEnd"/>
      <w:r>
        <w:t xml:space="preserve">, nel Sistema informativo del mare della costa SIC), che deve essere potenziato ed aggiornato in occasione degli interventi straordinari con i dati di monitoraggio </w:t>
      </w:r>
      <w:proofErr w:type="spellStart"/>
      <w:r>
        <w:t>pre</w:t>
      </w:r>
      <w:proofErr w:type="spellEnd"/>
      <w:r>
        <w:t xml:space="preserve"> e post interventi e con nuove informazioni che migliorino la caratterizzazione degli stessi. </w:t>
      </w:r>
    </w:p>
    <w:p w14:paraId="0000004A" w14:textId="77777777" w:rsidR="00B212BB" w:rsidRDefault="00A5255B">
      <w:pPr>
        <w:jc w:val="both"/>
      </w:pPr>
      <w:r>
        <w:t>A tale scopo si individuano le seguenti linee di indirizzo:</w:t>
      </w:r>
    </w:p>
    <w:p w14:paraId="0000004B" w14:textId="77777777" w:rsidR="00B212BB" w:rsidRDefault="00A5255B">
      <w:pPr>
        <w:pBdr>
          <w:top w:val="nil"/>
          <w:left w:val="nil"/>
          <w:bottom w:val="nil"/>
          <w:right w:val="nil"/>
          <w:between w:val="nil"/>
        </w:pBdr>
        <w:spacing w:after="60"/>
        <w:ind w:left="993" w:hanging="851"/>
        <w:jc w:val="both"/>
        <w:rPr>
          <w:color w:val="000000"/>
        </w:rPr>
      </w:pPr>
      <w:r>
        <w:rPr>
          <w:color w:val="000000"/>
        </w:rPr>
        <w:t>AS-4.1 -</w:t>
      </w:r>
      <w:r>
        <w:rPr>
          <w:color w:val="000000"/>
        </w:rPr>
        <w:tab/>
      </w:r>
      <w:r>
        <w:rPr>
          <w:b/>
          <w:color w:val="000000"/>
        </w:rPr>
        <w:t>Programmazione periodica di interventi straordinari di ripascimento</w:t>
      </w:r>
      <w:r>
        <w:rPr>
          <w:color w:val="000000"/>
        </w:rPr>
        <w:t xml:space="preserve"> con sabbie dai depositi off-shore, indicativamente ogni 5-6 anni, al fine di contribuire al ribilanciamento sedimentario del litorale regionale e gestire i tratti particolarmente critici per erosione.</w:t>
      </w:r>
    </w:p>
    <w:p w14:paraId="0000004C" w14:textId="77777777" w:rsidR="00B212BB" w:rsidRDefault="00A5255B">
      <w:pPr>
        <w:pBdr>
          <w:top w:val="nil"/>
          <w:left w:val="nil"/>
          <w:bottom w:val="nil"/>
          <w:right w:val="nil"/>
          <w:between w:val="nil"/>
        </w:pBdr>
        <w:spacing w:after="60"/>
        <w:ind w:left="993" w:hanging="851"/>
        <w:jc w:val="both"/>
        <w:rPr>
          <w:color w:val="000000"/>
        </w:rPr>
      </w:pPr>
      <w:r>
        <w:rPr>
          <w:color w:val="000000"/>
        </w:rPr>
        <w:t>AS-4.2 -</w:t>
      </w:r>
      <w:r>
        <w:rPr>
          <w:color w:val="000000"/>
        </w:rPr>
        <w:tab/>
      </w:r>
      <w:r>
        <w:rPr>
          <w:b/>
          <w:color w:val="000000"/>
        </w:rPr>
        <w:t xml:space="preserve">Programmazione di ulteriori indagini conoscitive e di caratterizzazione </w:t>
      </w:r>
      <w:r>
        <w:rPr>
          <w:color w:val="000000"/>
        </w:rPr>
        <w:t xml:space="preserve">sui depositi individuati e per la caratterizzazione di dettaglio e l’individuazione di nuove eventuali risorse, procedendo con l’aggiornamento della banca dati </w:t>
      </w:r>
      <w:proofErr w:type="spellStart"/>
      <w:r>
        <w:rPr>
          <w:color w:val="000000"/>
        </w:rPr>
        <w:t>in_Sand</w:t>
      </w:r>
      <w:proofErr w:type="spellEnd"/>
      <w:r>
        <w:rPr>
          <w:color w:val="000000"/>
        </w:rPr>
        <w:t>.</w:t>
      </w:r>
    </w:p>
    <w:p w14:paraId="0000004D" w14:textId="77777777" w:rsidR="00B212BB" w:rsidRDefault="00A5255B">
      <w:pPr>
        <w:pBdr>
          <w:top w:val="nil"/>
          <w:left w:val="nil"/>
          <w:bottom w:val="nil"/>
          <w:right w:val="nil"/>
          <w:between w:val="nil"/>
        </w:pBdr>
        <w:spacing w:after="60"/>
        <w:ind w:left="993" w:hanging="851"/>
        <w:jc w:val="both"/>
        <w:rPr>
          <w:color w:val="000000"/>
        </w:rPr>
      </w:pPr>
      <w:r>
        <w:rPr>
          <w:color w:val="000000"/>
        </w:rPr>
        <w:lastRenderedPageBreak/>
        <w:t>AS-4.3 -</w:t>
      </w:r>
      <w:r>
        <w:rPr>
          <w:color w:val="000000"/>
        </w:rPr>
        <w:tab/>
      </w:r>
      <w:r>
        <w:rPr>
          <w:b/>
          <w:color w:val="000000"/>
        </w:rPr>
        <w:t>Sfruttamento sostenibile dei depositi off-shore</w:t>
      </w:r>
      <w:r>
        <w:rPr>
          <w:color w:val="000000"/>
        </w:rPr>
        <w:t xml:space="preserve">. In occasione di ogni progetto di ripascimento con sabbie off-shore deve essere predisposto un Piano di Dragaggio dei depositi sottomarini, in analogia ai progetti P3 (2016) e P4 (2021), con prescrizioni sulle modalità di prelievo. Per uno sfruttamento sostenibile dei depositi sottomarini, infatti, si deve prevedere: la conservazione di un franco di almeno 50 cm di sabbia al tetto del substrato, che possa garantire le condizioni il ripopolamento bentonico a seguito delle operazioni di dragaggio; il raccordo migliore con le aree precedentemente dragate, in funzione anche della morfologia e della geometria dei depositi e dalla presenza o meno di copertura pelitica. </w:t>
      </w:r>
    </w:p>
    <w:p w14:paraId="0000004E" w14:textId="77777777" w:rsidR="00B212BB" w:rsidRDefault="00A5255B">
      <w:pPr>
        <w:pBdr>
          <w:top w:val="nil"/>
          <w:left w:val="nil"/>
          <w:bottom w:val="nil"/>
          <w:right w:val="nil"/>
          <w:between w:val="nil"/>
        </w:pBdr>
        <w:ind w:left="993" w:hanging="851"/>
        <w:jc w:val="both"/>
        <w:rPr>
          <w:color w:val="000000"/>
        </w:rPr>
      </w:pPr>
      <w:r>
        <w:rPr>
          <w:color w:val="000000"/>
        </w:rPr>
        <w:t>AS-4.4 -</w:t>
      </w:r>
      <w:r>
        <w:rPr>
          <w:color w:val="000000"/>
        </w:rPr>
        <w:tab/>
      </w:r>
      <w:r>
        <w:rPr>
          <w:b/>
          <w:color w:val="000000"/>
        </w:rPr>
        <w:t xml:space="preserve">Indagini e monitoraggi </w:t>
      </w:r>
      <w:proofErr w:type="spellStart"/>
      <w:r>
        <w:rPr>
          <w:b/>
          <w:color w:val="000000"/>
        </w:rPr>
        <w:t>pre</w:t>
      </w:r>
      <w:proofErr w:type="spellEnd"/>
      <w:r>
        <w:rPr>
          <w:b/>
          <w:color w:val="000000"/>
        </w:rPr>
        <w:t xml:space="preserve"> e post-intervento.</w:t>
      </w:r>
      <w:r>
        <w:rPr>
          <w:color w:val="000000"/>
        </w:rPr>
        <w:t xml:space="preserve"> Ogni operazione di dragaggio dei depositi off-shore dovrà prevedere indagini ante e post-intervento ed essere seguita da una adeguata attività di monitoraggio sull’assetto morfologico e sul ripopolamento bentonico. Durante le operazioni di dragaggio dovrà essere prevista la sorveglianza delle operazioni per garantire la coerenza con il Piano di Dragaggio di cui al punto precedente.</w:t>
      </w:r>
    </w:p>
    <w:p w14:paraId="0000004F" w14:textId="77777777" w:rsidR="00B212BB" w:rsidRDefault="00A5255B">
      <w:pPr>
        <w:jc w:val="both"/>
        <w:rPr>
          <w:b/>
        </w:rPr>
      </w:pPr>
      <w:r>
        <w:rPr>
          <w:b/>
        </w:rPr>
        <w:t xml:space="preserve">C.1.5 – Indirizzi per azioni rivolte ad una ulteriore riduzione della componente antropica della subsidenza </w:t>
      </w:r>
      <w:r>
        <w:t xml:space="preserve">(Rif. </w:t>
      </w:r>
      <w:r>
        <w:rPr>
          <w:highlight w:val="lightGray"/>
        </w:rPr>
        <w:t>Azioni AS-5</w:t>
      </w:r>
      <w:r>
        <w:t>)</w:t>
      </w:r>
      <w:r>
        <w:rPr>
          <w:b/>
        </w:rPr>
        <w:t xml:space="preserve"> </w:t>
      </w:r>
    </w:p>
    <w:p w14:paraId="00000050" w14:textId="77777777" w:rsidR="00B212BB" w:rsidRDefault="00A5255B">
      <w:pPr>
        <w:jc w:val="both"/>
      </w:pPr>
      <w:r>
        <w:rPr>
          <w:u w:val="single"/>
        </w:rPr>
        <w:t>Soggetti</w:t>
      </w:r>
      <w:r>
        <w:t>: Regione, ARPAE, Autorità di bacino distrettuale del fiume Po</w:t>
      </w:r>
    </w:p>
    <w:p w14:paraId="00000051" w14:textId="77777777" w:rsidR="00B212BB" w:rsidRDefault="00A5255B">
      <w:pPr>
        <w:jc w:val="both"/>
      </w:pPr>
      <w:r>
        <w:t>Le politiche introdotte dalla Regione negli scorsi decenni (infrastrutture acquedottistiche per la costa, controllo degli emungimenti, riduzione delle concessioni di emungimento di fluidi dal sottosuolo), hanno già prodotto una importante riduzione dei tassi di subsidenza in buona parte della fascia costiera, come registrato dai monitoraggi periodici dell’ultimo decennio. È necessario continuare in questa direzione, rafforzando ulteriormente tali politiche in quelle aree dove i tassi sono ancora oggi elevati, in particolare alcune zone del ravennate, verso l’obiettivo di ulteriore drastica riduzione della componente antropica. A tale scopo si individuano le seguenti linee di indirizzo:</w:t>
      </w:r>
    </w:p>
    <w:p w14:paraId="00000052" w14:textId="77777777" w:rsidR="00B212BB" w:rsidRDefault="00A5255B">
      <w:pPr>
        <w:pBdr>
          <w:top w:val="nil"/>
          <w:left w:val="nil"/>
          <w:bottom w:val="nil"/>
          <w:right w:val="nil"/>
          <w:between w:val="nil"/>
        </w:pBdr>
        <w:spacing w:after="120"/>
        <w:ind w:left="993" w:hanging="851"/>
        <w:jc w:val="both"/>
        <w:rPr>
          <w:color w:val="000000"/>
        </w:rPr>
      </w:pPr>
      <w:r>
        <w:rPr>
          <w:color w:val="000000"/>
        </w:rPr>
        <w:t xml:space="preserve">AS-5.1 - </w:t>
      </w:r>
      <w:r>
        <w:rPr>
          <w:color w:val="000000"/>
        </w:rPr>
        <w:tab/>
      </w:r>
      <w:r>
        <w:rPr>
          <w:b/>
          <w:color w:val="000000"/>
        </w:rPr>
        <w:t>Riduzione regolamentata dell’emungimento di acque dal sottosuolo</w:t>
      </w:r>
      <w:r>
        <w:rPr>
          <w:color w:val="000000"/>
        </w:rPr>
        <w:t xml:space="preserve"> con particolare riferimento agli acquiferi costieri più superficiali e alle aree critiche per tassi di subsidenza (uguali o maggiori a 8 mm/anno) e quote sul livello del medio mare (uguali o inferiori a 1,5 m) e all’individuazione di eventuali punti di prelievo abusivi;</w:t>
      </w:r>
    </w:p>
    <w:p w14:paraId="00000053" w14:textId="77777777" w:rsidR="00B212BB" w:rsidRDefault="00A5255B">
      <w:pPr>
        <w:pBdr>
          <w:top w:val="nil"/>
          <w:left w:val="nil"/>
          <w:bottom w:val="nil"/>
          <w:right w:val="nil"/>
          <w:between w:val="nil"/>
        </w:pBdr>
        <w:spacing w:after="120"/>
        <w:ind w:left="993" w:hanging="851"/>
        <w:jc w:val="both"/>
        <w:rPr>
          <w:color w:val="000000"/>
        </w:rPr>
      </w:pPr>
      <w:r>
        <w:rPr>
          <w:color w:val="000000"/>
        </w:rPr>
        <w:t>AS-5.2 -</w:t>
      </w:r>
      <w:r>
        <w:rPr>
          <w:color w:val="000000"/>
        </w:rPr>
        <w:tab/>
      </w:r>
      <w:r>
        <w:rPr>
          <w:b/>
          <w:color w:val="000000"/>
        </w:rPr>
        <w:t>Potenziamento delle misure e politiche per il risparmio idrico,</w:t>
      </w:r>
      <w:r>
        <w:rPr>
          <w:color w:val="000000"/>
        </w:rPr>
        <w:t xml:space="preserve"> per i diversi comparti in fascia costiera (civile, agricolo, industriale), relativamente ai consumi di esercizio e stagionali, alle colture particolarmente </w:t>
      </w:r>
      <w:proofErr w:type="spellStart"/>
      <w:r>
        <w:rPr>
          <w:color w:val="000000"/>
        </w:rPr>
        <w:t>idroesigenti</w:t>
      </w:r>
      <w:proofErr w:type="spellEnd"/>
      <w:r>
        <w:rPr>
          <w:color w:val="000000"/>
        </w:rPr>
        <w:t xml:space="preserve">, ai cicli produttivi industriali, anche accompagnate da un potenziamento o ulteriore implementazione di infrastrutture di derivazione e acquedottistiche e dall’individuazione di eventuali prelievi abusivi; </w:t>
      </w:r>
    </w:p>
    <w:p w14:paraId="00000054" w14:textId="77777777" w:rsidR="00B212BB" w:rsidRDefault="00A5255B">
      <w:pPr>
        <w:pBdr>
          <w:top w:val="nil"/>
          <w:left w:val="nil"/>
          <w:bottom w:val="nil"/>
          <w:right w:val="nil"/>
          <w:between w:val="nil"/>
        </w:pBdr>
        <w:spacing w:after="120"/>
        <w:ind w:left="993" w:hanging="851"/>
        <w:jc w:val="both"/>
        <w:rPr>
          <w:color w:val="000000"/>
        </w:rPr>
      </w:pPr>
      <w:r>
        <w:rPr>
          <w:color w:val="000000"/>
        </w:rPr>
        <w:t>AS-5.3 -</w:t>
      </w:r>
      <w:r>
        <w:rPr>
          <w:color w:val="000000"/>
        </w:rPr>
        <w:tab/>
      </w:r>
      <w:r>
        <w:rPr>
          <w:b/>
          <w:color w:val="000000"/>
        </w:rPr>
        <w:t>Implementazione di studi e monitoraggi degli acquiferi costieri</w:t>
      </w:r>
      <w:r>
        <w:rPr>
          <w:color w:val="000000"/>
        </w:rPr>
        <w:t xml:space="preserve">, in stretto coordinamento con l’Autorità di bacino distrettuale del fiume Po, nell’ambito delle attività e misure di cui al </w:t>
      </w:r>
      <w:proofErr w:type="spellStart"/>
      <w:r>
        <w:rPr>
          <w:color w:val="000000"/>
        </w:rPr>
        <w:t>PdG</w:t>
      </w:r>
      <w:proofErr w:type="spellEnd"/>
      <w:r>
        <w:rPr>
          <w:color w:val="000000"/>
        </w:rPr>
        <w:t xml:space="preserve"> vigente, per controllo e approfondimenti conoscitivi sul fenomeno dell’intrusione del cuneo salino nelle acque di falda e di studi e monitoraggi della subsidenza, anche con l’utilizzo di tecniche di telerilevamento;</w:t>
      </w:r>
    </w:p>
    <w:p w14:paraId="00000055" w14:textId="77777777" w:rsidR="00B212BB" w:rsidRDefault="00A5255B">
      <w:pPr>
        <w:pBdr>
          <w:top w:val="nil"/>
          <w:left w:val="nil"/>
          <w:bottom w:val="nil"/>
          <w:right w:val="nil"/>
          <w:between w:val="nil"/>
        </w:pBdr>
        <w:ind w:left="993" w:hanging="851"/>
        <w:jc w:val="both"/>
        <w:rPr>
          <w:color w:val="000000"/>
        </w:rPr>
      </w:pPr>
      <w:r>
        <w:rPr>
          <w:color w:val="000000"/>
        </w:rPr>
        <w:t>AS-5.4 -</w:t>
      </w:r>
      <w:r>
        <w:rPr>
          <w:color w:val="000000"/>
        </w:rPr>
        <w:tab/>
      </w:r>
      <w:r>
        <w:rPr>
          <w:b/>
          <w:color w:val="000000"/>
        </w:rPr>
        <w:t>Riduzione regolamentata dell’estrazione di idrocarburi</w:t>
      </w:r>
      <w:r>
        <w:rPr>
          <w:color w:val="000000"/>
        </w:rPr>
        <w:t xml:space="preserve"> dai giacimenti on-</w:t>
      </w:r>
      <w:proofErr w:type="spellStart"/>
      <w:r>
        <w:rPr>
          <w:color w:val="000000"/>
        </w:rPr>
        <w:t>shore</w:t>
      </w:r>
      <w:proofErr w:type="spellEnd"/>
      <w:r>
        <w:rPr>
          <w:color w:val="000000"/>
        </w:rPr>
        <w:t xml:space="preserve"> e off-shore prossimi alla fascia costiera, con particolare riferimento alle aree critiche in termini di tassi di subsidenza e di quota sul livello del medio mare, accompagnata da misure compensative tecniche ed economiche a valere sui soggetti o società concessionarie dello sfruttamento, per il finanziamento di interventi di difesa della costa o di sperimentazione per la mitigazione della subsidenza.   </w:t>
      </w:r>
    </w:p>
    <w:p w14:paraId="00000056" w14:textId="77777777" w:rsidR="00B212BB" w:rsidRDefault="00B212BB">
      <w:pPr>
        <w:jc w:val="both"/>
        <w:rPr>
          <w:b/>
        </w:rPr>
      </w:pPr>
    </w:p>
    <w:p w14:paraId="00000057" w14:textId="77777777" w:rsidR="00B212BB" w:rsidRDefault="00A5255B">
      <w:pPr>
        <w:jc w:val="both"/>
        <w:rPr>
          <w:b/>
        </w:rPr>
      </w:pPr>
      <w:r>
        <w:rPr>
          <w:b/>
        </w:rPr>
        <w:t>C.1.6 –</w:t>
      </w:r>
      <w:r>
        <w:t xml:space="preserve"> </w:t>
      </w:r>
      <w:r>
        <w:rPr>
          <w:b/>
        </w:rPr>
        <w:t xml:space="preserve">Indirizzi per la destinazione delle sabbie da scavi di interventi edilizi e infrastrutturali in fascia litoranea alla manutenzione e ripascimento costiero </w:t>
      </w:r>
      <w:r>
        <w:t xml:space="preserve">(Rif. </w:t>
      </w:r>
      <w:r>
        <w:rPr>
          <w:highlight w:val="lightGray"/>
        </w:rPr>
        <w:t>Azioni AS-6</w:t>
      </w:r>
      <w:r>
        <w:t>)</w:t>
      </w:r>
    </w:p>
    <w:p w14:paraId="00000058" w14:textId="77777777" w:rsidR="00B212BB" w:rsidRDefault="00A5255B">
      <w:pPr>
        <w:jc w:val="both"/>
      </w:pPr>
      <w:r>
        <w:rPr>
          <w:u w:val="single"/>
        </w:rPr>
        <w:lastRenderedPageBreak/>
        <w:t>Soggetti</w:t>
      </w:r>
      <w:r>
        <w:t>: Regione, Comuni, ARSTPC, Arpae SAC provinciali</w:t>
      </w:r>
    </w:p>
    <w:p w14:paraId="00000059" w14:textId="77777777" w:rsidR="00B212BB" w:rsidRDefault="00A5255B">
      <w:pPr>
        <w:jc w:val="both"/>
      </w:pPr>
      <w:r>
        <w:t>Pur non costituendo volumi ingenti quanto quelli movimentati dai depositi off-shore, se opportunamente gestiti e destinati al ripascimento costiero queste risorse rappresentano un’altra importante fonte di alimentazione delle spiagge con sedimenti altrimenti non disponibili nel sistema litoraneo. È una pratica già adottata e regolata da alcuni Comuni della costa che dovrebbe essere diffusa, posta l’idoneità e qualità dei sedimenti, nei regolamenti edilizi di tutti i Comuni costieri. Negli strumenti comunali sarà inoltre necessario individuare aree idonee allo stoccaggio temporaneo protetto dei volumi di sedimenti, se non immediatamente impiegabili, per il ripascimento, la costruzione di argini invernali di protezione, le manutenzioni successivamente al periodo invernale in avvio della stagione balneare. Allo scopo di forniscono i seguenti indirizzi:</w:t>
      </w:r>
    </w:p>
    <w:p w14:paraId="0000005A" w14:textId="77777777" w:rsidR="00B212BB" w:rsidRDefault="00A5255B">
      <w:pPr>
        <w:pBdr>
          <w:top w:val="nil"/>
          <w:left w:val="nil"/>
          <w:bottom w:val="nil"/>
          <w:right w:val="nil"/>
          <w:between w:val="nil"/>
        </w:pBdr>
        <w:spacing w:after="120"/>
        <w:ind w:left="993" w:hanging="851"/>
        <w:jc w:val="both"/>
        <w:rPr>
          <w:color w:val="000000"/>
        </w:rPr>
      </w:pPr>
      <w:r>
        <w:rPr>
          <w:color w:val="000000"/>
        </w:rPr>
        <w:t>AS-6.1 -</w:t>
      </w:r>
      <w:r>
        <w:rPr>
          <w:color w:val="000000"/>
        </w:rPr>
        <w:tab/>
      </w:r>
      <w:r>
        <w:rPr>
          <w:b/>
          <w:color w:val="000000"/>
        </w:rPr>
        <w:t>Introduzione</w:t>
      </w:r>
      <w:r>
        <w:rPr>
          <w:color w:val="000000"/>
        </w:rPr>
        <w:t xml:space="preserve"> </w:t>
      </w:r>
      <w:r>
        <w:rPr>
          <w:b/>
          <w:color w:val="000000"/>
        </w:rPr>
        <w:t>n</w:t>
      </w:r>
      <w:r>
        <w:rPr>
          <w:b/>
        </w:rPr>
        <w:t>ei piani</w:t>
      </w:r>
      <w:r>
        <w:rPr>
          <w:b/>
          <w:color w:val="000000"/>
        </w:rPr>
        <w:t xml:space="preserve"> comunali e di settore di </w:t>
      </w:r>
      <w:r>
        <w:rPr>
          <w:b/>
        </w:rPr>
        <w:t>d</w:t>
      </w:r>
      <w:r>
        <w:rPr>
          <w:b/>
          <w:color w:val="000000"/>
        </w:rPr>
        <w:t>isposizioni mirate al riutilizzo di materiali sabbiosi risultanti da scavi.</w:t>
      </w:r>
      <w:r>
        <w:rPr>
          <w:color w:val="000000"/>
        </w:rPr>
        <w:t xml:space="preserve"> Introdu</w:t>
      </w:r>
      <w:r>
        <w:t>rre</w:t>
      </w:r>
      <w:r>
        <w:rPr>
          <w:color w:val="000000"/>
        </w:rPr>
        <w:t xml:space="preserve"> negli strumenti urbanistici e regolamenti edilizi dei Comuni costieri</w:t>
      </w:r>
      <w:r>
        <w:t xml:space="preserve"> </w:t>
      </w:r>
      <w:r>
        <w:rPr>
          <w:color w:val="000000"/>
        </w:rPr>
        <w:t xml:space="preserve">disposizioni mirate al riutilizzo di materiali sabbiosi risultanti da scavi edili e infrastrutturali, idonei </w:t>
      </w:r>
      <w:r>
        <w:t>per</w:t>
      </w:r>
      <w:r>
        <w:rPr>
          <w:color w:val="000000"/>
        </w:rPr>
        <w:t xml:space="preserve"> la normativa vigente, secondo uno specifico Piano di utilizzo ai fini del ripascimento e manutenzione della costa.</w:t>
      </w:r>
    </w:p>
    <w:p w14:paraId="0000005B" w14:textId="77777777" w:rsidR="00B212BB" w:rsidRDefault="00A5255B">
      <w:pPr>
        <w:pBdr>
          <w:top w:val="nil"/>
          <w:left w:val="nil"/>
          <w:bottom w:val="nil"/>
          <w:right w:val="nil"/>
          <w:between w:val="nil"/>
        </w:pBdr>
        <w:spacing w:after="120"/>
        <w:ind w:left="993" w:hanging="851"/>
        <w:jc w:val="both"/>
        <w:rPr>
          <w:color w:val="000000"/>
        </w:rPr>
      </w:pPr>
      <w:r>
        <w:rPr>
          <w:color w:val="000000"/>
        </w:rPr>
        <w:t>AS-6.2 -</w:t>
      </w:r>
      <w:r>
        <w:rPr>
          <w:color w:val="000000"/>
        </w:rPr>
        <w:tab/>
      </w:r>
      <w:r>
        <w:rPr>
          <w:b/>
          <w:color w:val="000000"/>
        </w:rPr>
        <w:t xml:space="preserve">Individuazione aree di stoccaggio temporaneo dei materiali sabbiosi. </w:t>
      </w:r>
      <w:r>
        <w:rPr>
          <w:color w:val="000000"/>
        </w:rPr>
        <w:t>Prevedere negli strumenti dei Comuni costieri l’individuazione di aree di stoccaggio, il più possibile prossime all’arenile, per i materiali sabbiosi risultanti da scavi edili e infrastrutturali, o da altre fonti e dalle operazioni di pulizia delle spiagge, per un loro utilizzo differito se non immediatamente conferibili alla manutenzione o ripascimento delle spiagge.</w:t>
      </w:r>
    </w:p>
    <w:p w14:paraId="0000005C" w14:textId="77777777" w:rsidR="00B212BB" w:rsidRDefault="00A5255B">
      <w:pPr>
        <w:pBdr>
          <w:top w:val="nil"/>
          <w:left w:val="nil"/>
          <w:bottom w:val="nil"/>
          <w:right w:val="nil"/>
          <w:between w:val="nil"/>
        </w:pBdr>
        <w:spacing w:after="120"/>
        <w:ind w:left="993" w:hanging="851"/>
        <w:jc w:val="both"/>
        <w:rPr>
          <w:color w:val="000000"/>
        </w:rPr>
      </w:pPr>
      <w:r>
        <w:rPr>
          <w:color w:val="000000"/>
        </w:rPr>
        <w:t>AS-6.3 -</w:t>
      </w:r>
      <w:r>
        <w:rPr>
          <w:color w:val="000000"/>
        </w:rPr>
        <w:tab/>
      </w:r>
      <w:r>
        <w:rPr>
          <w:b/>
          <w:color w:val="000000"/>
        </w:rPr>
        <w:t>Destinazione dei materiali sabbiosi da scavo al ripascimento costiero</w:t>
      </w:r>
      <w:r>
        <w:rPr>
          <w:color w:val="000000"/>
        </w:rPr>
        <w:t>. Nel caso di materiali sabbiosi risultanti dalle operazioni di scavo nel territorio comunale, con riferimento al Dlgs 152/2006 (artt. 186, 185 e 184-quater come modificato dalla L 156/2021), al DM 161/2012 e alla L 69/2013 in materia di terre e rocce da scavo, va posta come destinazione privilegiata od obbligatoria di tali materiali la manutenzione degli arenili e disposto il loro conferimento all’Amministrazione Comunale presso sito di stoccaggio autorizzato, per  il successivo riutilizzo per operazioni di ripascimento, realizzazione di argini invernali di protezione, manutenzioni successive al periodo invernale in avvio della stagione balneare.</w:t>
      </w:r>
    </w:p>
    <w:p w14:paraId="0000005D" w14:textId="77777777" w:rsidR="00B212BB" w:rsidRDefault="00A5255B">
      <w:pPr>
        <w:pBdr>
          <w:top w:val="nil"/>
          <w:left w:val="nil"/>
          <w:bottom w:val="nil"/>
          <w:right w:val="nil"/>
          <w:between w:val="nil"/>
        </w:pBdr>
        <w:ind w:left="993" w:hanging="851"/>
        <w:jc w:val="both"/>
        <w:rPr>
          <w:color w:val="000000"/>
        </w:rPr>
      </w:pPr>
      <w:r>
        <w:rPr>
          <w:color w:val="000000"/>
        </w:rPr>
        <w:t>AS-6.4 -</w:t>
      </w:r>
      <w:r>
        <w:rPr>
          <w:color w:val="000000"/>
        </w:rPr>
        <w:tab/>
      </w:r>
      <w:r>
        <w:rPr>
          <w:b/>
          <w:color w:val="000000"/>
        </w:rPr>
        <w:t>Banca dati su stoccaggio e riutilizzo di sabbie da scavo.</w:t>
      </w:r>
      <w:r>
        <w:rPr>
          <w:color w:val="000000"/>
        </w:rPr>
        <w:t xml:space="preserve"> Costruzione di una banca dati o ulteriore implementazione di un database regionale esistente (es. SICELL), in collaborazione con i Comuni, per registrare informazioni e dati sullo stoccaggio e riutilizzo di sabbie da scavo ai fini del ripascimento/manutenzione degli arenili e per eventuali scambi di quote di sedimenti, attraverso un coordinamento tra i Comuni della costa, per gestire gli scambi in una logica di “mutuo soccorso” in ragione delle necessità sul territorio e della disponibilità di materiale (banca dei sedimenti).</w:t>
      </w:r>
    </w:p>
    <w:p w14:paraId="0000005E" w14:textId="77777777" w:rsidR="00B212BB" w:rsidRDefault="00A5255B">
      <w:pPr>
        <w:rPr>
          <w:sz w:val="28"/>
          <w:szCs w:val="28"/>
        </w:rPr>
      </w:pPr>
      <w:r>
        <w:br w:type="page"/>
      </w:r>
    </w:p>
    <w:p w14:paraId="0000005F" w14:textId="77777777" w:rsidR="00B212BB" w:rsidRDefault="00B212BB">
      <w:pPr>
        <w:jc w:val="both"/>
        <w:rPr>
          <w:sz w:val="28"/>
          <w:szCs w:val="28"/>
        </w:rPr>
      </w:pPr>
    </w:p>
    <w:p w14:paraId="00000060" w14:textId="77777777" w:rsidR="00B212BB" w:rsidRDefault="00A5255B">
      <w:pPr>
        <w:shd w:val="clear" w:color="auto" w:fill="D9D9D9"/>
        <w:jc w:val="both"/>
        <w:rPr>
          <w:sz w:val="28"/>
          <w:szCs w:val="28"/>
        </w:rPr>
      </w:pPr>
      <w:r>
        <w:rPr>
          <w:sz w:val="28"/>
          <w:szCs w:val="28"/>
        </w:rPr>
        <w:t>AZIONI E INTERVENTI PER L’ADATTAMENTO</w:t>
      </w:r>
    </w:p>
    <w:p w14:paraId="00000061" w14:textId="77777777" w:rsidR="00B212BB" w:rsidRDefault="00A5255B">
      <w:pPr>
        <w:jc w:val="both"/>
      </w:pPr>
      <w:r>
        <w:rPr>
          <w:b/>
        </w:rPr>
        <w:t xml:space="preserve">C.1.7 – Indirizzi per interventi di riqualificazione dei fronti mare e di adattamento e difesa della costa </w:t>
      </w:r>
      <w:r>
        <w:t xml:space="preserve">(Rif. </w:t>
      </w:r>
      <w:r>
        <w:rPr>
          <w:highlight w:val="lightGray"/>
        </w:rPr>
        <w:t>Azioni AA-1</w:t>
      </w:r>
      <w:r>
        <w:t xml:space="preserve">). </w:t>
      </w:r>
    </w:p>
    <w:p w14:paraId="00000062" w14:textId="77777777" w:rsidR="00B212BB" w:rsidRDefault="00A5255B">
      <w:pPr>
        <w:jc w:val="both"/>
      </w:pPr>
      <w:r>
        <w:rPr>
          <w:u w:val="single"/>
        </w:rPr>
        <w:t>Soggetti</w:t>
      </w:r>
      <w:r>
        <w:t xml:space="preserve">: Regione, Comuni, ARSTPC, Autorità di Bacino Distrettuale del fiume Po, </w:t>
      </w:r>
    </w:p>
    <w:p w14:paraId="00000063" w14:textId="77777777" w:rsidR="00B212BB" w:rsidRDefault="00A5255B">
      <w:pPr>
        <w:jc w:val="both"/>
      </w:pPr>
      <w:r>
        <w:t>Un ruolo importante nell’attuazione della Strategia viene giocato dalle operazioni di riqualificazione urbanistica dei fronti mare. Sono interventi in genere mirati al rilancio del turismo marino-costiero ma che devono essere progettati anche con la finalità di adattamento e aumento della resilienza del sistema costiero agli effetti del cambiamento climatico. In questo senso la GIDAC promuove il concetto e la realizzazione di interventi multi-obiettivi (“</w:t>
      </w:r>
      <w:proofErr w:type="spellStart"/>
      <w:r>
        <w:t>win-win</w:t>
      </w:r>
      <w:proofErr w:type="spellEnd"/>
      <w:r>
        <w:t xml:space="preserve">”) mirati a coniugare la riqualificazione dei fronti mare con le necessità di difesa e adattamento in relazione ai rischi costieri (erosione, ingressione marina) privilegiando soluzioni morbide o “nature </w:t>
      </w:r>
      <w:proofErr w:type="spellStart"/>
      <w:r>
        <w:t>based</w:t>
      </w:r>
      <w:proofErr w:type="spellEnd"/>
      <w:r>
        <w:t xml:space="preserve"> </w:t>
      </w:r>
      <w:proofErr w:type="spellStart"/>
      <w:r>
        <w:t>solutions</w:t>
      </w:r>
      <w:proofErr w:type="spellEnd"/>
      <w:r>
        <w:t>”, in relazione agli eventi previsti e alle mappe di pericolosità e di rischio del PGRA. A tale scopo si individuano le seguenti linee di indirizzo:</w:t>
      </w:r>
    </w:p>
    <w:p w14:paraId="00000064" w14:textId="77777777" w:rsidR="00B212BB" w:rsidRDefault="00A5255B">
      <w:pPr>
        <w:pBdr>
          <w:top w:val="nil"/>
          <w:left w:val="nil"/>
          <w:bottom w:val="nil"/>
          <w:right w:val="nil"/>
          <w:between w:val="nil"/>
        </w:pBdr>
        <w:spacing w:after="0"/>
        <w:ind w:left="993" w:hanging="851"/>
        <w:jc w:val="both"/>
        <w:rPr>
          <w:color w:val="000000"/>
        </w:rPr>
      </w:pPr>
      <w:r>
        <w:rPr>
          <w:color w:val="000000"/>
        </w:rPr>
        <w:t>AA-1.1 -</w:t>
      </w:r>
      <w:r>
        <w:rPr>
          <w:color w:val="000000"/>
        </w:rPr>
        <w:tab/>
      </w:r>
      <w:r>
        <w:rPr>
          <w:b/>
          <w:color w:val="000000"/>
        </w:rPr>
        <w:t>Interventi di riqualificazione dei fronti mare.</w:t>
      </w:r>
      <w:r>
        <w:rPr>
          <w:color w:val="000000"/>
        </w:rPr>
        <w:t xml:space="preserve"> I progetti di riqualificazione dei fronti mare previsti in ambito comunale dovranno considerare le condizioni locali di pericolosità e di rischio per erosione, alluvione e ingressione marina e prevedere l’incorporamento nel progetto di soluzioni di adattamento agli scenari di pericolosità, mappati dal PGRA per l’ambito costiero, in considerazione dell’elevazione totale della superficie del mare indicata per eventi e relativi tempi di ritorno (probabilità), +1,5 m per eventi con </w:t>
      </w:r>
      <w:proofErr w:type="spellStart"/>
      <w:r>
        <w:rPr>
          <w:color w:val="000000"/>
        </w:rPr>
        <w:t>Tr</w:t>
      </w:r>
      <w:proofErr w:type="spellEnd"/>
      <w:r>
        <w:rPr>
          <w:color w:val="000000"/>
        </w:rPr>
        <w:t xml:space="preserve"> 10 anni, + 1,8 m per eventi con </w:t>
      </w:r>
      <w:proofErr w:type="spellStart"/>
      <w:r>
        <w:rPr>
          <w:color w:val="000000"/>
        </w:rPr>
        <w:t>Tr</w:t>
      </w:r>
      <w:proofErr w:type="spellEnd"/>
      <w:r>
        <w:rPr>
          <w:color w:val="000000"/>
        </w:rPr>
        <w:t xml:space="preserve"> 100 anni, + 2,5 m per eventi con </w:t>
      </w:r>
      <w:proofErr w:type="spellStart"/>
      <w:r>
        <w:rPr>
          <w:color w:val="000000"/>
        </w:rPr>
        <w:t>Tr</w:t>
      </w:r>
      <w:proofErr w:type="spellEnd"/>
      <w:r>
        <w:rPr>
          <w:color w:val="000000"/>
        </w:rPr>
        <w:t xml:space="preserve"> superiore a 100 anni, considerando opportuni franchi e le necessità di adeguamento nel tempo in relazione alle previsioni di innalzamento del livello del medio mare al 2050 o 2100.</w:t>
      </w:r>
    </w:p>
    <w:p w14:paraId="00000065" w14:textId="77777777" w:rsidR="00B212BB" w:rsidRDefault="00A5255B">
      <w:pPr>
        <w:pBdr>
          <w:top w:val="nil"/>
          <w:left w:val="nil"/>
          <w:bottom w:val="nil"/>
          <w:right w:val="nil"/>
          <w:between w:val="nil"/>
        </w:pBdr>
        <w:ind w:left="993" w:hanging="851"/>
        <w:jc w:val="both"/>
        <w:rPr>
          <w:color w:val="000000"/>
        </w:rPr>
      </w:pPr>
      <w:r>
        <w:rPr>
          <w:color w:val="000000"/>
        </w:rPr>
        <w:t>AA-1.2 -</w:t>
      </w:r>
      <w:r>
        <w:rPr>
          <w:color w:val="000000"/>
        </w:rPr>
        <w:tab/>
      </w:r>
      <w:r>
        <w:rPr>
          <w:b/>
          <w:color w:val="000000"/>
        </w:rPr>
        <w:t>Aggiornamento e potenziamento del database degli interventi di riqualificazione dei fronti mare</w:t>
      </w:r>
      <w:r>
        <w:rPr>
          <w:color w:val="000000"/>
        </w:rPr>
        <w:t>, sviluppato in ambito GIDAC e collegato al sistema informativo del mare e della costa (SIC) relativo a dati e informazioni sugli interventi realizzati, quote e raccordo con altre strutture di difesa e presenza di eventuali varchi.</w:t>
      </w:r>
    </w:p>
    <w:p w14:paraId="00000066" w14:textId="77777777" w:rsidR="00B212BB" w:rsidRDefault="00A5255B">
      <w:pPr>
        <w:jc w:val="both"/>
      </w:pPr>
      <w:r>
        <w:rPr>
          <w:b/>
        </w:rPr>
        <w:t>C.1.8 – Indirizzi per interventi di riqualificazione urbanistica e infrastrutturale ai fini della riduzione della vulnerabilità in ambito costiero</w:t>
      </w:r>
      <w:r>
        <w:t xml:space="preserve"> (Rif. </w:t>
      </w:r>
      <w:r>
        <w:rPr>
          <w:highlight w:val="lightGray"/>
        </w:rPr>
        <w:t>Azioni AA-2</w:t>
      </w:r>
      <w:r>
        <w:t>)</w:t>
      </w:r>
    </w:p>
    <w:p w14:paraId="00000067" w14:textId="77777777" w:rsidR="00B212BB" w:rsidRDefault="00A5255B">
      <w:pPr>
        <w:jc w:val="both"/>
      </w:pPr>
      <w:r>
        <w:rPr>
          <w:u w:val="single"/>
        </w:rPr>
        <w:t>Soggetti</w:t>
      </w:r>
      <w:r>
        <w:t>: Regione, Comuni, Unioni di Comuni, Province, ARSTPC</w:t>
      </w:r>
    </w:p>
    <w:p w14:paraId="00000068" w14:textId="77777777" w:rsidR="00B212BB" w:rsidRDefault="00A5255B">
      <w:pPr>
        <w:jc w:val="both"/>
      </w:pPr>
      <w:r>
        <w:t xml:space="preserve">Ogni intervento di riqualificazione o ristrutturazione di singoli o più elementi in fascia costiera, edifici, piani interrati, comparti urbanistici, vie di comunicazione e reti di trasporto, aree portuali, servizi a rete, deve portare ad una riduzione della vulnerabilità per fenomeni di erosione, alluvione e inondazione marina, in relazione agli eventi previsti e alle mappe di pericolosità e di rischio del PGRA. </w:t>
      </w:r>
    </w:p>
    <w:p w14:paraId="00000069" w14:textId="77777777" w:rsidR="00B212BB" w:rsidRDefault="00A5255B">
      <w:pPr>
        <w:jc w:val="both"/>
      </w:pPr>
      <w:r>
        <w:t xml:space="preserve">A tale scopo si individuano le seguenti linee di indirizzo: </w:t>
      </w:r>
    </w:p>
    <w:p w14:paraId="0000006A" w14:textId="77777777" w:rsidR="00B212BB" w:rsidRDefault="00A5255B">
      <w:pPr>
        <w:pBdr>
          <w:top w:val="nil"/>
          <w:left w:val="nil"/>
          <w:bottom w:val="nil"/>
          <w:right w:val="nil"/>
          <w:between w:val="nil"/>
        </w:pBdr>
        <w:spacing w:after="120"/>
        <w:ind w:left="993" w:hanging="851"/>
        <w:jc w:val="both"/>
        <w:rPr>
          <w:color w:val="000000"/>
        </w:rPr>
      </w:pPr>
      <w:r>
        <w:rPr>
          <w:color w:val="000000"/>
        </w:rPr>
        <w:t>AA-2.1 -</w:t>
      </w:r>
      <w:r>
        <w:rPr>
          <w:color w:val="000000"/>
        </w:rPr>
        <w:tab/>
      </w:r>
      <w:r>
        <w:rPr>
          <w:b/>
          <w:color w:val="000000"/>
        </w:rPr>
        <w:t>Interventi di riqualificazione di comparti urbanistici, edifici, vie di comunicazione e reti di trasporto, aree portuali, servizi a rete</w:t>
      </w:r>
      <w:r>
        <w:rPr>
          <w:color w:val="000000"/>
        </w:rPr>
        <w:t xml:space="preserve">, dovranno considerare le condizioni locali di pericolosità e di rischio per erosione, alluvione e ingressione marina e prevedere idonee soluzioni di adattamento agli scenari di pericolosità, mappati dal PGRA per l’ambito costiero, in considerazione dell’elevazione totale della superficie del mare indicata per eventi e relativi tempi di ritorno (probabilità, pericolosità), +1,5 m per eventi con </w:t>
      </w:r>
      <w:proofErr w:type="spellStart"/>
      <w:r>
        <w:rPr>
          <w:color w:val="000000"/>
        </w:rPr>
        <w:t>Tr</w:t>
      </w:r>
      <w:proofErr w:type="spellEnd"/>
      <w:r>
        <w:rPr>
          <w:color w:val="000000"/>
        </w:rPr>
        <w:t xml:space="preserve"> 10 anni (aree P3), + 1,8 m per eventi con </w:t>
      </w:r>
      <w:proofErr w:type="spellStart"/>
      <w:r>
        <w:rPr>
          <w:color w:val="000000"/>
        </w:rPr>
        <w:t>Tr</w:t>
      </w:r>
      <w:proofErr w:type="spellEnd"/>
      <w:r>
        <w:rPr>
          <w:color w:val="000000"/>
        </w:rPr>
        <w:t xml:space="preserve"> 100 anni (aree P2), + 2,5 m per eventi con </w:t>
      </w:r>
      <w:proofErr w:type="spellStart"/>
      <w:r>
        <w:rPr>
          <w:color w:val="000000"/>
        </w:rPr>
        <w:t>Tr</w:t>
      </w:r>
      <w:proofErr w:type="spellEnd"/>
      <w:r>
        <w:rPr>
          <w:color w:val="000000"/>
        </w:rPr>
        <w:t xml:space="preserve"> superiore a 100 anni (aree P1), considerando opportuni franchi in relazione alle previsioni di innalzamento del livello del medio mare fra il 2050 e il 2100. Dovranno essere anche assunti come riferimento i tiranti idrici calcolati per l’Area a Rischio Significativo Costa di rango distrettuale, disponibili per i 3 scenari di cui alle mappe di pericolosità di alluvioni (</w:t>
      </w:r>
      <w:proofErr w:type="spellStart"/>
      <w:r>
        <w:rPr>
          <w:color w:val="000000"/>
        </w:rPr>
        <w:t>Tr</w:t>
      </w:r>
      <w:proofErr w:type="spellEnd"/>
      <w:r>
        <w:rPr>
          <w:color w:val="000000"/>
        </w:rPr>
        <w:t xml:space="preserve"> 10, 100 e &gt; 100 anni), facenti parte del quadro conoscitivo di cui al PGRA vigente.</w:t>
      </w:r>
    </w:p>
    <w:p w14:paraId="0000006B" w14:textId="77777777" w:rsidR="00B212BB" w:rsidRDefault="00A5255B">
      <w:pPr>
        <w:pBdr>
          <w:top w:val="nil"/>
          <w:left w:val="nil"/>
          <w:bottom w:val="nil"/>
          <w:right w:val="nil"/>
          <w:between w:val="nil"/>
        </w:pBdr>
        <w:spacing w:after="0"/>
        <w:ind w:left="993" w:hanging="851"/>
        <w:jc w:val="both"/>
        <w:rPr>
          <w:color w:val="000000"/>
        </w:rPr>
      </w:pPr>
      <w:r>
        <w:rPr>
          <w:color w:val="000000"/>
        </w:rPr>
        <w:lastRenderedPageBreak/>
        <w:t xml:space="preserve">AA-2.2 - </w:t>
      </w:r>
      <w:r>
        <w:rPr>
          <w:color w:val="000000"/>
        </w:rPr>
        <w:tab/>
      </w:r>
      <w:r>
        <w:rPr>
          <w:b/>
          <w:color w:val="000000"/>
        </w:rPr>
        <w:t>Nella fascia costiera individuata dall’Ambito di Intervento della GIDAC</w:t>
      </w:r>
      <w:r>
        <w:rPr>
          <w:color w:val="000000"/>
        </w:rPr>
        <w:t xml:space="preserve"> (</w:t>
      </w:r>
      <w:proofErr w:type="spellStart"/>
      <w:r>
        <w:rPr>
          <w:color w:val="000000"/>
        </w:rPr>
        <w:t>rif.</w:t>
      </w:r>
      <w:proofErr w:type="spellEnd"/>
      <w:r>
        <w:rPr>
          <w:color w:val="000000"/>
        </w:rPr>
        <w:t xml:space="preserve"> paragrafo A.1.5 del presente documento di strategia), gli strumenti di pianificazione urbanistica e territoriale devono garantire il perseguimento dei seguenti obiettivi generali e relative indicazioni in relazione al livello di pericolosità indicato dal PGRA:</w:t>
      </w:r>
    </w:p>
    <w:p w14:paraId="0000006C" w14:textId="77777777" w:rsidR="00B212BB" w:rsidRDefault="00A5255B">
      <w:pPr>
        <w:numPr>
          <w:ilvl w:val="0"/>
          <w:numId w:val="1"/>
        </w:numPr>
        <w:pBdr>
          <w:top w:val="nil"/>
          <w:left w:val="nil"/>
          <w:bottom w:val="nil"/>
          <w:right w:val="nil"/>
          <w:between w:val="nil"/>
        </w:pBdr>
        <w:spacing w:after="0"/>
        <w:ind w:left="1276" w:hanging="142"/>
        <w:jc w:val="both"/>
      </w:pPr>
      <w:r>
        <w:rPr>
          <w:b/>
          <w:color w:val="000000"/>
        </w:rPr>
        <w:t xml:space="preserve">nelle Aree P3, inondazioni frequenti (con </w:t>
      </w:r>
      <w:proofErr w:type="spellStart"/>
      <w:r>
        <w:rPr>
          <w:b/>
          <w:color w:val="000000"/>
        </w:rPr>
        <w:t>Tr</w:t>
      </w:r>
      <w:proofErr w:type="spellEnd"/>
      <w:r>
        <w:rPr>
          <w:b/>
          <w:color w:val="000000"/>
        </w:rPr>
        <w:t xml:space="preserve"> 10 anni),</w:t>
      </w:r>
      <w:r>
        <w:rPr>
          <w:color w:val="000000"/>
        </w:rPr>
        <w:t xml:space="preserve"> limitare e contenere il carico urbanistico e l’esposizione di cose e persone ai rischi e danni determinati dalla pericolosità e dalla probabilità dell’evento di mareggiata; interventi di nuova costruzione e ristrutturazione edilizia o infrastrutturale, interventi sugli immobili esistenti posti ai piani terra, seminterrati e interrati, devono essere subordinati alla riduzione della vulnerabilità e del danno atteso per eventi di mareggiata o inondazione, tenendo conto del quadro conoscitivo di cui al PGRA vigente. Per gli immobili ai piani terra, seminterrati o interrati, l’acquisizione dell’agibilità dovrà essere subordinata alla dotazione di sistemi di protezione dal rischio di mareggiata o inondazione. Gli interventi volti alla riduzione della vulnerabilità degli edifici esistenti devono prevedere modalità realizzative tali da non comportare un aggravio dell’esposizione al rischio delle aree confinanti. </w:t>
      </w:r>
    </w:p>
    <w:p w14:paraId="0000006D" w14:textId="77777777" w:rsidR="00B212BB" w:rsidRDefault="00A5255B">
      <w:pPr>
        <w:numPr>
          <w:ilvl w:val="0"/>
          <w:numId w:val="1"/>
        </w:numPr>
        <w:pBdr>
          <w:top w:val="nil"/>
          <w:left w:val="nil"/>
          <w:bottom w:val="nil"/>
          <w:right w:val="nil"/>
          <w:between w:val="nil"/>
        </w:pBdr>
        <w:spacing w:after="0"/>
        <w:ind w:left="1276" w:hanging="142"/>
        <w:jc w:val="both"/>
      </w:pPr>
      <w:r>
        <w:rPr>
          <w:b/>
          <w:color w:val="000000"/>
        </w:rPr>
        <w:t xml:space="preserve">nelle Aree P2, inondazioni poco frequenti (con </w:t>
      </w:r>
      <w:proofErr w:type="spellStart"/>
      <w:r>
        <w:rPr>
          <w:b/>
          <w:color w:val="000000"/>
        </w:rPr>
        <w:t>Tr</w:t>
      </w:r>
      <w:proofErr w:type="spellEnd"/>
      <w:r>
        <w:rPr>
          <w:b/>
          <w:color w:val="000000"/>
        </w:rPr>
        <w:t xml:space="preserve"> 100 anni)</w:t>
      </w:r>
      <w:r>
        <w:rPr>
          <w:color w:val="000000"/>
        </w:rPr>
        <w:t xml:space="preserve">, limitare e contenere l’esposizione di cose e persone ai rischi e danni determinati dalla pericolosità e dalla probabilità dell’evento di mareggiata; nuove previsioni urbanistiche e infrastrutturali devono essere corredate da uno studio di dettaglio sulla vulnerabilità e morfologia dell’area di intervento che individui soluzioni progettuali e misure idonee a minimizzare il rischio, prendendo comunque come riferimento le mappe dei tiranti idrici di cui al quadro conoscitivo del PGRA vigente; interventi di nuova costruzione, interventi di ristrutturazione edilizia sugli edifici esistenti e i cambi d’uso che comportano un aumento del carico urbanistico o un aggravio dell’esposizione al rischio, sono subordinati alla riduzione della vulnerabilità del danno atteso sui beni esposti per eventi di mareggiata e inondazione, come condizione per l’acquisizione dell’agibilità dei suddetti elementi edilizi. Gli interventi volti alla riduzione o minimizzazione della vulnerabilità devono prevedere modalità realizzative tali da non comportare un aggravio dell’esposizione al rischio delle aree confinanti. </w:t>
      </w:r>
    </w:p>
    <w:p w14:paraId="0000006E" w14:textId="77777777" w:rsidR="00B212BB" w:rsidRDefault="00A5255B">
      <w:pPr>
        <w:numPr>
          <w:ilvl w:val="0"/>
          <w:numId w:val="1"/>
        </w:numPr>
        <w:pBdr>
          <w:top w:val="nil"/>
          <w:left w:val="nil"/>
          <w:bottom w:val="nil"/>
          <w:right w:val="nil"/>
          <w:between w:val="nil"/>
        </w:pBdr>
        <w:spacing w:after="120"/>
        <w:ind w:left="1276" w:hanging="142"/>
        <w:jc w:val="both"/>
      </w:pPr>
      <w:r>
        <w:rPr>
          <w:b/>
          <w:color w:val="000000"/>
        </w:rPr>
        <w:t xml:space="preserve">nelle aree P1, inondazioni rare (con </w:t>
      </w:r>
      <w:proofErr w:type="spellStart"/>
      <w:r>
        <w:rPr>
          <w:b/>
          <w:color w:val="000000"/>
        </w:rPr>
        <w:t>Tr</w:t>
      </w:r>
      <w:proofErr w:type="spellEnd"/>
      <w:r>
        <w:rPr>
          <w:b/>
          <w:color w:val="000000"/>
        </w:rPr>
        <w:t xml:space="preserve"> superiore a 100 anni)</w:t>
      </w:r>
      <w:r>
        <w:rPr>
          <w:color w:val="000000"/>
        </w:rPr>
        <w:t xml:space="preserve">, ridurre il rischio mediante disposizioni e azioni di protezione civile, di autoprotezione e di protezione passiva del patrimonio edilizio e infrastrutturale esistente. </w:t>
      </w:r>
    </w:p>
    <w:p w14:paraId="0000006F" w14:textId="77777777" w:rsidR="00B212BB" w:rsidRDefault="00A5255B">
      <w:pPr>
        <w:pBdr>
          <w:top w:val="nil"/>
          <w:left w:val="nil"/>
          <w:bottom w:val="nil"/>
          <w:right w:val="nil"/>
          <w:between w:val="nil"/>
        </w:pBdr>
        <w:spacing w:before="120" w:after="0"/>
        <w:ind w:left="993" w:hanging="851"/>
        <w:jc w:val="both"/>
        <w:rPr>
          <w:color w:val="000000"/>
        </w:rPr>
      </w:pPr>
      <w:r>
        <w:rPr>
          <w:color w:val="000000"/>
        </w:rPr>
        <w:t xml:space="preserve">AA-2.3 - </w:t>
      </w:r>
      <w:r>
        <w:rPr>
          <w:color w:val="000000"/>
        </w:rPr>
        <w:tab/>
      </w:r>
      <w:r>
        <w:rPr>
          <w:b/>
          <w:color w:val="000000"/>
        </w:rPr>
        <w:t>Collaborazione nel censimento dei varchi e punti critici e aggiornamento delle banche dati</w:t>
      </w:r>
      <w:r>
        <w:rPr>
          <w:color w:val="000000"/>
        </w:rPr>
        <w:t xml:space="preserve">. Entro le perimetrazioni individuate dal PGRA per l’ambito costiero, i Comuni e le Unioni di Comuni sono tenuti a: </w:t>
      </w:r>
    </w:p>
    <w:p w14:paraId="00000070" w14:textId="77777777" w:rsidR="00B212BB" w:rsidRDefault="00A5255B">
      <w:pPr>
        <w:numPr>
          <w:ilvl w:val="0"/>
          <w:numId w:val="1"/>
        </w:numPr>
        <w:pBdr>
          <w:top w:val="nil"/>
          <w:left w:val="nil"/>
          <w:bottom w:val="nil"/>
          <w:right w:val="nil"/>
          <w:between w:val="nil"/>
        </w:pBdr>
        <w:spacing w:after="0"/>
        <w:ind w:left="1276" w:hanging="142"/>
        <w:jc w:val="both"/>
      </w:pPr>
      <w:r>
        <w:rPr>
          <w:color w:val="000000"/>
        </w:rPr>
        <w:t xml:space="preserve">collaborare all’aggiornamento delle banche dati del Sistema Informativo Mare e Costa (SIC) e in particolare a comunicare al competente servizio della Regione gli interventi realizzati che determinano una riduzione dei livelli di vulnerabilità previsti ex ante opere ai fini di un aggiornamento delle basi conoscitive rispetto alle quali devono essere ridefiniti i nuovi livelli di rischio nell’ambito; </w:t>
      </w:r>
    </w:p>
    <w:p w14:paraId="00000071" w14:textId="77777777" w:rsidR="00B212BB" w:rsidRDefault="00A5255B">
      <w:pPr>
        <w:numPr>
          <w:ilvl w:val="0"/>
          <w:numId w:val="1"/>
        </w:numPr>
        <w:pBdr>
          <w:top w:val="nil"/>
          <w:left w:val="nil"/>
          <w:bottom w:val="nil"/>
          <w:right w:val="nil"/>
          <w:between w:val="nil"/>
        </w:pBdr>
        <w:spacing w:after="120"/>
        <w:ind w:left="1276" w:hanging="142"/>
        <w:jc w:val="both"/>
      </w:pPr>
      <w:r>
        <w:rPr>
          <w:color w:val="000000"/>
        </w:rPr>
        <w:t xml:space="preserve">attivare e aggiornare un censimento e analisi di varchi e punti critici per segnalare le necessità rispetto alla predisposizione di sistemi di difesa e/o al loro adeguamento.  </w:t>
      </w:r>
    </w:p>
    <w:p w14:paraId="00000072" w14:textId="77777777" w:rsidR="00B212BB" w:rsidRDefault="00A5255B">
      <w:pPr>
        <w:pBdr>
          <w:top w:val="nil"/>
          <w:left w:val="nil"/>
          <w:bottom w:val="nil"/>
          <w:right w:val="nil"/>
          <w:between w:val="nil"/>
        </w:pBdr>
        <w:spacing w:before="120" w:after="0"/>
        <w:ind w:left="993" w:hanging="851"/>
        <w:jc w:val="both"/>
        <w:rPr>
          <w:color w:val="000000"/>
        </w:rPr>
      </w:pPr>
      <w:r>
        <w:rPr>
          <w:color w:val="000000"/>
        </w:rPr>
        <w:t>AA-2.4 -</w:t>
      </w:r>
      <w:r>
        <w:rPr>
          <w:color w:val="000000"/>
        </w:rPr>
        <w:tab/>
      </w:r>
      <w:r>
        <w:rPr>
          <w:b/>
          <w:color w:val="000000"/>
        </w:rPr>
        <w:t>Ambito interessato dall’attività balneare</w:t>
      </w:r>
      <w:r>
        <w:rPr>
          <w:color w:val="000000"/>
        </w:rPr>
        <w:t>. Il Piano Urbanistico Generale (PUG) e il relativo Piano dell’Arenile, di cui al comma 9 dell’art. 32 della LR n. 24/2017, orientano la strategia per la qualità urbana ed ecologico-ambientale e la disciplina urbanistica verso:</w:t>
      </w:r>
    </w:p>
    <w:p w14:paraId="00000073" w14:textId="77777777" w:rsidR="00B212BB" w:rsidRDefault="00A5255B">
      <w:pPr>
        <w:numPr>
          <w:ilvl w:val="0"/>
          <w:numId w:val="3"/>
        </w:numPr>
        <w:pBdr>
          <w:top w:val="nil"/>
          <w:left w:val="nil"/>
          <w:bottom w:val="nil"/>
          <w:right w:val="nil"/>
          <w:between w:val="nil"/>
        </w:pBdr>
        <w:spacing w:after="0"/>
        <w:ind w:left="1418" w:hanging="284"/>
        <w:jc w:val="both"/>
      </w:pPr>
      <w:r>
        <w:rPr>
          <w:b/>
          <w:color w:val="000000"/>
        </w:rPr>
        <w:t>rafforzamento della funzione della spiaggia come prima struttura di difesa del territorio</w:t>
      </w:r>
      <w:r>
        <w:rPr>
          <w:color w:val="000000"/>
        </w:rPr>
        <w:t xml:space="preserve"> contro le mareggiate e inondazioni marine, con riferimento agli scenari di eventi di cui al precedente punto AA-2.1, privilegiando l’adeguamento plano altimetrico del “sistema spiaggia”, anche con la realizzazione di rilevati continui nel retrospiaggia con materiali ecocompatibili o interventi tesi alla ricostruzione dell’apparato morfologico e vegetazionale della duna e di altri elementi di naturalità; </w:t>
      </w:r>
    </w:p>
    <w:p w14:paraId="00000074" w14:textId="77777777" w:rsidR="00B212BB" w:rsidRDefault="00A5255B">
      <w:pPr>
        <w:numPr>
          <w:ilvl w:val="0"/>
          <w:numId w:val="3"/>
        </w:numPr>
        <w:pBdr>
          <w:top w:val="nil"/>
          <w:left w:val="nil"/>
          <w:bottom w:val="nil"/>
          <w:right w:val="nil"/>
          <w:between w:val="nil"/>
        </w:pBdr>
        <w:spacing w:after="0"/>
        <w:ind w:left="1418" w:hanging="284"/>
        <w:jc w:val="both"/>
      </w:pPr>
      <w:r>
        <w:rPr>
          <w:b/>
          <w:color w:val="000000"/>
        </w:rPr>
        <w:lastRenderedPageBreak/>
        <w:t>promozione di interventi di riqualificazione con mitigazione e riduzione dei rischi costieri</w:t>
      </w:r>
      <w:r>
        <w:rPr>
          <w:color w:val="000000"/>
        </w:rPr>
        <w:t xml:space="preserve"> (erosione e ingressione marina) sulle strutture presenti, anche mediante il ricorso ad interventi di infrastrutture verdi (“green </w:t>
      </w:r>
      <w:proofErr w:type="spellStart"/>
      <w:r>
        <w:rPr>
          <w:color w:val="000000"/>
        </w:rPr>
        <w:t>infrastructure</w:t>
      </w:r>
      <w:proofErr w:type="spellEnd"/>
      <w:r>
        <w:rPr>
          <w:color w:val="000000"/>
        </w:rPr>
        <w:t xml:space="preserve">”) in coordinamento con le politiche dell'UE, la Direttiva quadro sulle acque, la Direttiva sulle alluvioni e la Strategia di adattamento ai cambiamenti climatici, che prevedano anche l’accorpamento e all’arretramento, quanto più possibile verso l’entroterra, delle opere e/o dei manufatti autorizzati per lo svolgimento delle attività balneari; la ricostruzione o realizzazione di opere e/o manufatti balneari con modalità tali da ridurne la vulnerabilità agli eventi di mareggiata e all’erosione e da garantire l’eventuale l’evacuazione delle persone in caso di improvviso evento calamitoso e il loro facile e rapido sgombero nel periodo di inattività; la riduzione della superficie coperta dei manufatti esistenti di almeno il 10% di quella esistente (ai sensi dell’art.13 comma 3 del Piano Territoriale Paesaggistico Regionale - PTPR); </w:t>
      </w:r>
    </w:p>
    <w:p w14:paraId="00000075" w14:textId="77777777" w:rsidR="00B212BB" w:rsidRDefault="00A5255B">
      <w:pPr>
        <w:numPr>
          <w:ilvl w:val="0"/>
          <w:numId w:val="3"/>
        </w:numPr>
        <w:pBdr>
          <w:top w:val="nil"/>
          <w:left w:val="nil"/>
          <w:bottom w:val="nil"/>
          <w:right w:val="nil"/>
          <w:between w:val="nil"/>
        </w:pBdr>
        <w:spacing w:after="0"/>
        <w:ind w:left="1418" w:hanging="284"/>
        <w:jc w:val="both"/>
      </w:pPr>
      <w:r>
        <w:rPr>
          <w:b/>
          <w:color w:val="000000"/>
        </w:rPr>
        <w:t xml:space="preserve">individuazione degli elementi di cui prevedere la delocalizzazione, </w:t>
      </w:r>
      <w:r>
        <w:rPr>
          <w:color w:val="000000"/>
        </w:rPr>
        <w:t xml:space="preserve">es. edifici esistenti non oggetto di disciplina di tutela, complessi turistici all’aperto esistenti, localizzati in zona di tutela della costa e dell’arenile (di cui all’art. 15, comma 4 lettera a, del PTPR) che necessitano di delocalizzazione in quanto presentano livelli di rischio tali da non consentire un loro significativo adeguamento alle condizioni di messa in sicurezza necessarie; </w:t>
      </w:r>
    </w:p>
    <w:p w14:paraId="00000076" w14:textId="77777777" w:rsidR="00B212BB" w:rsidRDefault="00A5255B">
      <w:pPr>
        <w:numPr>
          <w:ilvl w:val="0"/>
          <w:numId w:val="3"/>
        </w:numPr>
        <w:pBdr>
          <w:top w:val="nil"/>
          <w:left w:val="nil"/>
          <w:bottom w:val="nil"/>
          <w:right w:val="nil"/>
          <w:between w:val="nil"/>
        </w:pBdr>
        <w:spacing w:after="0"/>
        <w:ind w:left="1418" w:hanging="284"/>
        <w:jc w:val="both"/>
      </w:pPr>
      <w:r>
        <w:rPr>
          <w:b/>
          <w:color w:val="000000"/>
        </w:rPr>
        <w:t>criteri per la delocalizzazione</w:t>
      </w:r>
      <w:r>
        <w:rPr>
          <w:color w:val="000000"/>
        </w:rPr>
        <w:t xml:space="preserve">, nei casi di cui alla precedente lettera c) il PUG dovrà indicare i criteri per: </w:t>
      </w:r>
    </w:p>
    <w:p w14:paraId="00000077" w14:textId="77777777" w:rsidR="00B212BB" w:rsidRDefault="00A5255B">
      <w:pPr>
        <w:numPr>
          <w:ilvl w:val="0"/>
          <w:numId w:val="2"/>
        </w:numPr>
        <w:pBdr>
          <w:top w:val="nil"/>
          <w:left w:val="nil"/>
          <w:bottom w:val="nil"/>
          <w:right w:val="nil"/>
          <w:between w:val="nil"/>
        </w:pBdr>
        <w:spacing w:after="0"/>
        <w:ind w:left="1701" w:hanging="218"/>
        <w:jc w:val="both"/>
      </w:pPr>
      <w:r>
        <w:rPr>
          <w:color w:val="000000"/>
        </w:rPr>
        <w:t xml:space="preserve">l’individuazione delle aree idonee alla delocalizzazione, con riferimento alla pericolosità,  </w:t>
      </w:r>
    </w:p>
    <w:p w14:paraId="00000078" w14:textId="77777777" w:rsidR="00B212BB" w:rsidRDefault="00A5255B">
      <w:pPr>
        <w:numPr>
          <w:ilvl w:val="0"/>
          <w:numId w:val="2"/>
        </w:numPr>
        <w:pBdr>
          <w:top w:val="nil"/>
          <w:left w:val="nil"/>
          <w:bottom w:val="nil"/>
          <w:right w:val="nil"/>
          <w:between w:val="nil"/>
        </w:pBdr>
        <w:spacing w:after="0"/>
        <w:ind w:left="1701" w:hanging="218"/>
        <w:jc w:val="both"/>
      </w:pPr>
      <w:r>
        <w:rPr>
          <w:color w:val="000000"/>
        </w:rPr>
        <w:t xml:space="preserve">le modalità di rinaturalizzazione delle aree di sedime originarie,  </w:t>
      </w:r>
    </w:p>
    <w:p w14:paraId="00000079" w14:textId="77777777" w:rsidR="00B212BB" w:rsidRDefault="00A5255B">
      <w:pPr>
        <w:numPr>
          <w:ilvl w:val="0"/>
          <w:numId w:val="2"/>
        </w:numPr>
        <w:pBdr>
          <w:top w:val="nil"/>
          <w:left w:val="nil"/>
          <w:bottom w:val="nil"/>
          <w:right w:val="nil"/>
          <w:between w:val="nil"/>
        </w:pBdr>
        <w:spacing w:after="0"/>
        <w:ind w:left="1701" w:hanging="218"/>
        <w:jc w:val="both"/>
      </w:pPr>
      <w:r>
        <w:rPr>
          <w:color w:val="000000"/>
        </w:rPr>
        <w:t xml:space="preserve">il recupero delle superfici utili esistenti anche prevedendo eventuali incentivi volumetrici, entro i limiti di cui all’Art. 13, comma 2 lettera a) e b) del PTPR, </w:t>
      </w:r>
    </w:p>
    <w:p w14:paraId="0000007A" w14:textId="77777777" w:rsidR="00B212BB" w:rsidRDefault="00A5255B">
      <w:pPr>
        <w:numPr>
          <w:ilvl w:val="0"/>
          <w:numId w:val="2"/>
        </w:numPr>
        <w:pBdr>
          <w:top w:val="nil"/>
          <w:left w:val="nil"/>
          <w:bottom w:val="nil"/>
          <w:right w:val="nil"/>
          <w:between w:val="nil"/>
        </w:pBdr>
        <w:spacing w:after="0"/>
        <w:ind w:left="1701" w:hanging="218"/>
        <w:jc w:val="both"/>
      </w:pPr>
      <w:r>
        <w:rPr>
          <w:color w:val="000000"/>
        </w:rPr>
        <w:t xml:space="preserve">l’eventuale scomputo del contributo di costruzione fino alla totale esenzione; </w:t>
      </w:r>
    </w:p>
    <w:p w14:paraId="0000007B" w14:textId="77777777" w:rsidR="00B212BB" w:rsidRDefault="00A5255B">
      <w:pPr>
        <w:numPr>
          <w:ilvl w:val="0"/>
          <w:numId w:val="2"/>
        </w:numPr>
        <w:pBdr>
          <w:top w:val="nil"/>
          <w:left w:val="nil"/>
          <w:bottom w:val="nil"/>
          <w:right w:val="nil"/>
          <w:between w:val="nil"/>
        </w:pBdr>
        <w:spacing w:after="0"/>
        <w:ind w:left="1701" w:hanging="218"/>
        <w:jc w:val="both"/>
      </w:pPr>
      <w:r>
        <w:rPr>
          <w:color w:val="000000"/>
        </w:rPr>
        <w:t xml:space="preserve">la definizione dei limiti, anche temporanei, degli usi dei locali posti ai piani seminterrati, interrati e ai piani terra </w:t>
      </w:r>
    </w:p>
    <w:p w14:paraId="0000007C" w14:textId="77777777" w:rsidR="00B212BB" w:rsidRDefault="00A5255B">
      <w:pPr>
        <w:numPr>
          <w:ilvl w:val="0"/>
          <w:numId w:val="3"/>
        </w:numPr>
        <w:pBdr>
          <w:top w:val="nil"/>
          <w:left w:val="nil"/>
          <w:bottom w:val="nil"/>
          <w:right w:val="nil"/>
          <w:between w:val="nil"/>
        </w:pBdr>
        <w:spacing w:after="0"/>
        <w:ind w:left="1418" w:hanging="284"/>
        <w:jc w:val="both"/>
      </w:pPr>
      <w:r>
        <w:rPr>
          <w:b/>
          <w:color w:val="000000"/>
        </w:rPr>
        <w:t>spiagge libere</w:t>
      </w:r>
      <w:r>
        <w:rPr>
          <w:color w:val="000000"/>
        </w:rPr>
        <w:t>, provvedere al mantenimento o alla realizzazione di adeguate porzioni di spiaggia libera, nella misura minima del 20%, ai sensi di quanto stabilito al punto 6.2.3 della Delibera dell’Assemblea Legislativa n. 468 del 6.3.2003;</w:t>
      </w:r>
    </w:p>
    <w:p w14:paraId="0000007D" w14:textId="77777777" w:rsidR="00B212BB" w:rsidRDefault="00A5255B">
      <w:pPr>
        <w:numPr>
          <w:ilvl w:val="0"/>
          <w:numId w:val="3"/>
        </w:numPr>
        <w:pBdr>
          <w:top w:val="nil"/>
          <w:left w:val="nil"/>
          <w:bottom w:val="nil"/>
          <w:right w:val="nil"/>
          <w:between w:val="nil"/>
        </w:pBdr>
        <w:spacing w:after="120"/>
        <w:ind w:left="1418" w:hanging="284"/>
        <w:jc w:val="both"/>
      </w:pPr>
      <w:r>
        <w:rPr>
          <w:b/>
          <w:color w:val="000000"/>
        </w:rPr>
        <w:t>individuazione delle aree di spiaggia per eventi pubblici</w:t>
      </w:r>
      <w:r>
        <w:rPr>
          <w:color w:val="000000"/>
        </w:rPr>
        <w:t>, in cui possono svolgersi particolari attività a carattere temporaneo a significativa attrattività di pubblico, collocandole in modo adeguato a facilitare l’eventuale l’evacuazione delle persone in caso di improvviso evento calamitoso, in relazione ai piani di protezione civile.</w:t>
      </w:r>
    </w:p>
    <w:p w14:paraId="0000007E" w14:textId="77777777" w:rsidR="00B212BB" w:rsidRDefault="00A5255B">
      <w:pPr>
        <w:pBdr>
          <w:top w:val="nil"/>
          <w:left w:val="nil"/>
          <w:bottom w:val="nil"/>
          <w:right w:val="nil"/>
          <w:between w:val="nil"/>
        </w:pBdr>
        <w:jc w:val="both"/>
        <w:rPr>
          <w:color w:val="000000"/>
        </w:rPr>
      </w:pPr>
      <w:r>
        <w:rPr>
          <w:b/>
          <w:color w:val="000000"/>
        </w:rPr>
        <w:t xml:space="preserve">C.1.9 – Indirizzi per il potenziamento del sistema di allertamento costiero </w:t>
      </w:r>
      <w:r>
        <w:rPr>
          <w:color w:val="000000"/>
        </w:rPr>
        <w:t xml:space="preserve">(Rif. </w:t>
      </w:r>
      <w:r>
        <w:rPr>
          <w:color w:val="000000"/>
          <w:highlight w:val="lightGray"/>
        </w:rPr>
        <w:t>Azioni AA-3</w:t>
      </w:r>
      <w:r>
        <w:rPr>
          <w:color w:val="000000"/>
        </w:rPr>
        <w:t>)</w:t>
      </w:r>
    </w:p>
    <w:p w14:paraId="0000007F" w14:textId="77777777" w:rsidR="00B212BB" w:rsidRDefault="00A5255B">
      <w:pPr>
        <w:jc w:val="both"/>
      </w:pPr>
      <w:r>
        <w:t>Soggetti: Regione, ARSTPC, ARPAE</w:t>
      </w:r>
    </w:p>
    <w:p w14:paraId="00000080" w14:textId="77777777" w:rsidR="00B212BB" w:rsidRDefault="00A5255B">
      <w:pPr>
        <w:jc w:val="both"/>
      </w:pPr>
      <w:bookmarkStart w:id="1" w:name="_heading=h.30j0zll" w:colFirst="0" w:colLast="0"/>
      <w:bookmarkEnd w:id="1"/>
      <w:r>
        <w:t>La manutenzione evolutiva e il potenziamento del sistema di allerta costiero, che è operativo in Emilia-Romagna a partire dal 2014 (ultimo aggiornamento DGR 1761/2020), è fondamentale vista la rapida evoluzione del sistema fisico costiero e l’esposizione delle infrastrutture antropiche ai fenomeni di mareggiata.  Il potenziamento del sistema di allertamento dovrebbe includere, per esempio, lo sviluppo di applicativi specifici per la gestione di situazioni particolari, quali ad esempio le aree portuali. A tale scopo si individuano le seguenti linee d’indirizzo:</w:t>
      </w:r>
    </w:p>
    <w:p w14:paraId="00000081" w14:textId="77777777" w:rsidR="00B212BB" w:rsidRDefault="00A5255B">
      <w:pPr>
        <w:pBdr>
          <w:top w:val="nil"/>
          <w:left w:val="nil"/>
          <w:bottom w:val="nil"/>
          <w:right w:val="nil"/>
          <w:between w:val="nil"/>
        </w:pBdr>
        <w:spacing w:after="0"/>
        <w:ind w:left="993" w:hanging="851"/>
        <w:jc w:val="both"/>
        <w:rPr>
          <w:color w:val="000000"/>
        </w:rPr>
      </w:pPr>
      <w:r>
        <w:rPr>
          <w:color w:val="000000"/>
        </w:rPr>
        <w:t>AA-3.1 -</w:t>
      </w:r>
      <w:r>
        <w:rPr>
          <w:color w:val="000000"/>
        </w:rPr>
        <w:tab/>
      </w:r>
      <w:r>
        <w:rPr>
          <w:b/>
          <w:color w:val="000000"/>
        </w:rPr>
        <w:t>Aggiornamento delle soglie critiche meteomarine di riferimento</w:t>
      </w:r>
      <w:r>
        <w:rPr>
          <w:color w:val="000000"/>
        </w:rPr>
        <w:t>.</w:t>
      </w:r>
    </w:p>
    <w:p w14:paraId="00000082" w14:textId="77777777" w:rsidR="00B212BB" w:rsidRDefault="00A5255B">
      <w:pPr>
        <w:pBdr>
          <w:top w:val="nil"/>
          <w:left w:val="nil"/>
          <w:bottom w:val="nil"/>
          <w:right w:val="nil"/>
          <w:between w:val="nil"/>
        </w:pBdr>
        <w:spacing w:after="0"/>
        <w:ind w:left="993" w:hanging="851"/>
        <w:jc w:val="both"/>
        <w:rPr>
          <w:color w:val="000000"/>
        </w:rPr>
      </w:pPr>
      <w:r>
        <w:rPr>
          <w:color w:val="000000"/>
        </w:rPr>
        <w:t>AA-3.2 -</w:t>
      </w:r>
      <w:r>
        <w:rPr>
          <w:color w:val="000000"/>
        </w:rPr>
        <w:tab/>
      </w:r>
      <w:r>
        <w:rPr>
          <w:b/>
          <w:color w:val="000000"/>
        </w:rPr>
        <w:t>Monitoraggio dei modelli.</w:t>
      </w:r>
      <w:r>
        <w:rPr>
          <w:color w:val="000000"/>
        </w:rPr>
        <w:t xml:space="preserve"> Garantire il monitoraggio sistematico dei profili di riferimento dei modelli, l’aggiornamento della modellistica dedicata e l’integrazione nei punti critici.</w:t>
      </w:r>
    </w:p>
    <w:p w14:paraId="00000083" w14:textId="77777777" w:rsidR="00B212BB" w:rsidRDefault="00A5255B">
      <w:pPr>
        <w:pBdr>
          <w:top w:val="nil"/>
          <w:left w:val="nil"/>
          <w:bottom w:val="nil"/>
          <w:right w:val="nil"/>
          <w:between w:val="nil"/>
        </w:pBdr>
        <w:spacing w:after="0"/>
        <w:ind w:left="993" w:hanging="851"/>
        <w:jc w:val="both"/>
        <w:rPr>
          <w:color w:val="000000"/>
        </w:rPr>
      </w:pPr>
      <w:r>
        <w:rPr>
          <w:color w:val="000000"/>
        </w:rPr>
        <w:t>AA-3.3 -</w:t>
      </w:r>
      <w:r>
        <w:rPr>
          <w:color w:val="000000"/>
        </w:rPr>
        <w:tab/>
      </w:r>
      <w:r>
        <w:rPr>
          <w:b/>
          <w:color w:val="000000"/>
        </w:rPr>
        <w:t>Monitoraggio degli eventi di mareggiata</w:t>
      </w:r>
      <w:r>
        <w:rPr>
          <w:color w:val="000000"/>
        </w:rPr>
        <w:t xml:space="preserve">. Potenziamento dei monitoraggi degli eventi di mareggiata e delle relative banche dati (eventi -impatti) </w:t>
      </w:r>
    </w:p>
    <w:p w14:paraId="00000084" w14:textId="77777777" w:rsidR="00B212BB" w:rsidRDefault="00A5255B">
      <w:pPr>
        <w:pBdr>
          <w:top w:val="nil"/>
          <w:left w:val="nil"/>
          <w:bottom w:val="nil"/>
          <w:right w:val="nil"/>
          <w:between w:val="nil"/>
        </w:pBdr>
        <w:spacing w:after="0"/>
        <w:ind w:left="993" w:hanging="851"/>
        <w:jc w:val="both"/>
        <w:rPr>
          <w:color w:val="000000"/>
        </w:rPr>
      </w:pPr>
      <w:r>
        <w:rPr>
          <w:color w:val="000000"/>
        </w:rPr>
        <w:t>AA-3.4 -</w:t>
      </w:r>
      <w:r>
        <w:rPr>
          <w:color w:val="000000"/>
        </w:rPr>
        <w:tab/>
      </w:r>
      <w:r>
        <w:rPr>
          <w:b/>
          <w:color w:val="000000"/>
        </w:rPr>
        <w:t>Formazione e informazione costante sul sistema di allertamento costiero.</w:t>
      </w:r>
    </w:p>
    <w:p w14:paraId="00000085" w14:textId="77777777" w:rsidR="00B212BB" w:rsidRDefault="00A5255B">
      <w:pPr>
        <w:pBdr>
          <w:top w:val="nil"/>
          <w:left w:val="nil"/>
          <w:bottom w:val="nil"/>
          <w:right w:val="nil"/>
          <w:between w:val="nil"/>
        </w:pBdr>
        <w:spacing w:after="0"/>
        <w:ind w:left="993" w:hanging="851"/>
        <w:jc w:val="both"/>
        <w:rPr>
          <w:color w:val="000000"/>
        </w:rPr>
      </w:pPr>
      <w:r>
        <w:rPr>
          <w:color w:val="000000"/>
        </w:rPr>
        <w:t>AA-3.5 -</w:t>
      </w:r>
      <w:r>
        <w:rPr>
          <w:color w:val="000000"/>
        </w:rPr>
        <w:tab/>
      </w:r>
      <w:r>
        <w:rPr>
          <w:b/>
          <w:color w:val="000000"/>
        </w:rPr>
        <w:t>Integrazione di buone pratiche</w:t>
      </w:r>
      <w:r>
        <w:rPr>
          <w:color w:val="000000"/>
        </w:rPr>
        <w:t xml:space="preserve">. Adozione delle buone pratiche sviluppate nei progetti Europei e Nazionali dedicati (es. </w:t>
      </w:r>
      <w:proofErr w:type="spellStart"/>
      <w:r>
        <w:rPr>
          <w:color w:val="000000"/>
        </w:rPr>
        <w:t>I_Storms</w:t>
      </w:r>
      <w:proofErr w:type="spellEnd"/>
      <w:r>
        <w:rPr>
          <w:color w:val="000000"/>
        </w:rPr>
        <w:t xml:space="preserve">) </w:t>
      </w:r>
    </w:p>
    <w:p w14:paraId="00000086" w14:textId="77777777" w:rsidR="00B212BB" w:rsidRDefault="00A5255B">
      <w:pPr>
        <w:pBdr>
          <w:top w:val="nil"/>
          <w:left w:val="nil"/>
          <w:bottom w:val="nil"/>
          <w:right w:val="nil"/>
          <w:between w:val="nil"/>
        </w:pBdr>
        <w:ind w:left="993" w:hanging="851"/>
        <w:jc w:val="both"/>
        <w:rPr>
          <w:color w:val="000000"/>
        </w:rPr>
      </w:pPr>
      <w:r>
        <w:rPr>
          <w:color w:val="000000"/>
        </w:rPr>
        <w:lastRenderedPageBreak/>
        <w:t xml:space="preserve">AA-3.6 - </w:t>
      </w:r>
      <w:r>
        <w:rPr>
          <w:color w:val="000000"/>
        </w:rPr>
        <w:tab/>
      </w:r>
      <w:r>
        <w:rPr>
          <w:b/>
          <w:color w:val="000000"/>
        </w:rPr>
        <w:t xml:space="preserve">Collaborazioni istituzionali. </w:t>
      </w:r>
      <w:r>
        <w:rPr>
          <w:color w:val="000000"/>
        </w:rPr>
        <w:t>Incentivare la collaborazione con Enti di ricerca e Università per approfondimenti tematici.</w:t>
      </w:r>
    </w:p>
    <w:p w14:paraId="00000087" w14:textId="77777777" w:rsidR="00B212BB" w:rsidRDefault="00B212BB">
      <w:pPr>
        <w:jc w:val="both"/>
      </w:pPr>
    </w:p>
    <w:p w14:paraId="00000088" w14:textId="77777777" w:rsidR="00B212BB" w:rsidRDefault="00A5255B">
      <w:pPr>
        <w:jc w:val="both"/>
        <w:rPr>
          <w:b/>
        </w:rPr>
      </w:pPr>
      <w:r>
        <w:rPr>
          <w:b/>
        </w:rPr>
        <w:t xml:space="preserve">C.1.10 – Indirizzi per l’arretramento di strutture e infrastrutture antropiche </w:t>
      </w:r>
      <w:r>
        <w:t xml:space="preserve">(Rif. </w:t>
      </w:r>
      <w:r>
        <w:rPr>
          <w:highlight w:val="lightGray"/>
        </w:rPr>
        <w:t>Azioni AA-4</w:t>
      </w:r>
      <w:r>
        <w:t xml:space="preserve">) </w:t>
      </w:r>
    </w:p>
    <w:p w14:paraId="00000089" w14:textId="77777777" w:rsidR="00B212BB" w:rsidRDefault="00A5255B">
      <w:pPr>
        <w:jc w:val="both"/>
      </w:pPr>
      <w:r>
        <w:rPr>
          <w:u w:val="single"/>
        </w:rPr>
        <w:t>Soggetti</w:t>
      </w:r>
      <w:r>
        <w:t>: Regione, Comuni, Unioni di Comuni, ARSTPC</w:t>
      </w:r>
    </w:p>
    <w:p w14:paraId="0000008A" w14:textId="77777777" w:rsidR="00B212BB" w:rsidRDefault="00A5255B">
      <w:pPr>
        <w:jc w:val="both"/>
      </w:pPr>
      <w:r>
        <w:t xml:space="preserve">L’arretramento e/o adeguamento altimetrico della base degli elementi antropici in aree particolarmente esposte ai fenomeni erosivi e di ingressione è finalizzato a creare spazi per l’esplicarsi naturale delle dinamiche marine e a ridurre o evitare i possibili danni diretti ai beni esposti a eventi meteo-marini. Al contempo, tali azioni rappresentano un’opportunità di riqualificazione di strutture balneari per il rilancio del turismo marino-costiero e una gestione della spiaggia più sostenibile in termini di risorse finanziarie e risorse naturali, consentendo di intervenire con soluzioni morbide nelle aree liberate per aumentare la resilienza agli impatti delle mareggiate e migliorare il livello di sicurezza del territorio interno. </w:t>
      </w:r>
    </w:p>
    <w:p w14:paraId="0000008B" w14:textId="77777777" w:rsidR="00B212BB" w:rsidRDefault="00A5255B">
      <w:pPr>
        <w:jc w:val="both"/>
      </w:pPr>
      <w:r>
        <w:t>A tale scopo si individuano le seguenti linee di indirizzo:</w:t>
      </w:r>
    </w:p>
    <w:p w14:paraId="0000008C" w14:textId="77777777" w:rsidR="00B212BB" w:rsidRDefault="00A5255B">
      <w:pPr>
        <w:pBdr>
          <w:top w:val="nil"/>
          <w:left w:val="nil"/>
          <w:bottom w:val="nil"/>
          <w:right w:val="nil"/>
          <w:between w:val="nil"/>
        </w:pBdr>
        <w:spacing w:after="120"/>
        <w:ind w:left="993" w:hanging="851"/>
        <w:jc w:val="both"/>
        <w:rPr>
          <w:color w:val="000000"/>
        </w:rPr>
      </w:pPr>
      <w:r>
        <w:rPr>
          <w:color w:val="000000"/>
        </w:rPr>
        <w:t>AA-4.1 -</w:t>
      </w:r>
      <w:r>
        <w:rPr>
          <w:color w:val="000000"/>
        </w:rPr>
        <w:tab/>
      </w:r>
      <w:r>
        <w:rPr>
          <w:b/>
          <w:color w:val="000000"/>
        </w:rPr>
        <w:t>Censimento degli elementi antropici localizzati sugli arenili e in zona P3 indicata dal PGRA</w:t>
      </w:r>
      <w:r>
        <w:rPr>
          <w:color w:val="000000"/>
        </w:rPr>
        <w:t>. Con riferimento al precedente punto AA-2.1, i Comuni e Unioni di Comuni effettuano un censimento su stato di conservazione e utilizzo delle strutture, infrastrutture e attività antropiche localizzate sugli arenili o comunque in zona P3, in relazione ai livelli di rischio cui sono esposte e alla loro vulnerabilità per gli eventi meteomarini attesi e agli eventuali necessari interventi di adeguamento e messa in sicurezza.</w:t>
      </w:r>
    </w:p>
    <w:p w14:paraId="0000008D" w14:textId="77777777" w:rsidR="00B212BB" w:rsidRDefault="00A5255B">
      <w:pPr>
        <w:pBdr>
          <w:top w:val="nil"/>
          <w:left w:val="nil"/>
          <w:bottom w:val="nil"/>
          <w:right w:val="nil"/>
          <w:between w:val="nil"/>
        </w:pBdr>
        <w:spacing w:after="120"/>
        <w:ind w:left="993" w:hanging="851"/>
        <w:jc w:val="both"/>
        <w:rPr>
          <w:color w:val="000000"/>
        </w:rPr>
      </w:pPr>
      <w:r>
        <w:rPr>
          <w:color w:val="000000"/>
        </w:rPr>
        <w:t>AA-4.2 -</w:t>
      </w:r>
      <w:r>
        <w:rPr>
          <w:color w:val="000000"/>
        </w:rPr>
        <w:tab/>
      </w:r>
      <w:r>
        <w:rPr>
          <w:b/>
          <w:color w:val="000000"/>
        </w:rPr>
        <w:t>Arretramento e/o adeguamento altimetrico o delocalizzazione delle strutture</w:t>
      </w:r>
      <w:r>
        <w:rPr>
          <w:color w:val="000000"/>
        </w:rPr>
        <w:t>. Sugli gli elementi che presentano livelli di vulnerabilità e di rischio elevati per eventi meteomarini con livelli di elevazione totale della superficie del mare indicati dal PGRA, di cui al precedente punto AA-2.1, gli strumenti comunali prevedono l’arretramento e/o adeguamento altimetrico delle strutture balneari, nell’ambito di interventi di riqualificazione anche con accorpamenti e, nel caso di edifici ad usi diversi che presentano livelli di rischio tali da non consentire un loro significativo adeguamento alle condizioni di messa in sicurezza necessarie, prevedono la loro delocalizzazione sulla base dei criteri di cui al precedente punto AA-2.4d, anche con forme d’incentivazione.</w:t>
      </w:r>
    </w:p>
    <w:p w14:paraId="0000008E" w14:textId="77777777" w:rsidR="00B212BB" w:rsidRDefault="00A5255B">
      <w:pPr>
        <w:pBdr>
          <w:top w:val="nil"/>
          <w:left w:val="nil"/>
          <w:bottom w:val="nil"/>
          <w:right w:val="nil"/>
          <w:between w:val="nil"/>
        </w:pBdr>
        <w:ind w:left="993" w:hanging="851"/>
        <w:jc w:val="both"/>
        <w:rPr>
          <w:color w:val="000000"/>
        </w:rPr>
      </w:pPr>
      <w:r>
        <w:rPr>
          <w:color w:val="000000"/>
        </w:rPr>
        <w:t>AA-4.3 -</w:t>
      </w:r>
      <w:r>
        <w:rPr>
          <w:color w:val="000000"/>
        </w:rPr>
        <w:tab/>
      </w:r>
      <w:r>
        <w:rPr>
          <w:b/>
          <w:color w:val="000000"/>
        </w:rPr>
        <w:t>Arretramento e/o adeguamento altimetrico delle infrastrutture</w:t>
      </w:r>
      <w:r>
        <w:rPr>
          <w:color w:val="000000"/>
        </w:rPr>
        <w:t xml:space="preserve">. In merito agli elementi infrastrutturali individuati (di cui al punto AA-4.1, che presentano livelli di vulnerabilità e di rischio elevati per eventi meteomarini, gli strumenti comunali ne prevedono ove necessario l’arretramento e/o adeguamento altimetrico in relazione ai livelli di elevazione totale della superficie del mare indicati dal PGRA e, nel caso della viabilità lungo mare, l’eventuale pedonalizzazione ed elevazione o dotazione di altro sistema di protezione dall’ingressione marina. </w:t>
      </w:r>
    </w:p>
    <w:p w14:paraId="0000008F" w14:textId="77777777" w:rsidR="00B212BB" w:rsidRDefault="00B212BB">
      <w:pPr>
        <w:jc w:val="both"/>
        <w:rPr>
          <w:b/>
        </w:rPr>
      </w:pPr>
    </w:p>
    <w:p w14:paraId="00000090" w14:textId="77777777" w:rsidR="00B212BB" w:rsidRDefault="00A5255B">
      <w:pPr>
        <w:jc w:val="both"/>
      </w:pPr>
      <w:r>
        <w:rPr>
          <w:b/>
        </w:rPr>
        <w:t>C.1.11 – Indirizzi per l’allargamento e adeguamento altimetrico del sistema spiaggia</w:t>
      </w:r>
      <w:r>
        <w:t xml:space="preserve"> (Rif. </w:t>
      </w:r>
      <w:r>
        <w:rPr>
          <w:highlight w:val="lightGray"/>
        </w:rPr>
        <w:t>Azioni AA-5</w:t>
      </w:r>
      <w:r>
        <w:t>)</w:t>
      </w:r>
    </w:p>
    <w:p w14:paraId="00000091" w14:textId="77777777" w:rsidR="00B212BB" w:rsidRDefault="00A5255B">
      <w:pPr>
        <w:jc w:val="both"/>
      </w:pPr>
      <w:r>
        <w:rPr>
          <w:u w:val="single"/>
        </w:rPr>
        <w:t>Soggetti</w:t>
      </w:r>
      <w:r>
        <w:t>: Regione, Comuni, ARSTPC</w:t>
      </w:r>
    </w:p>
    <w:p w14:paraId="00000092" w14:textId="77777777" w:rsidR="00B212BB" w:rsidRDefault="00A5255B">
      <w:pPr>
        <w:jc w:val="both"/>
      </w:pPr>
      <w:r>
        <w:t>In considerazione della funzione della spiaggia come prima struttura di difesa del territorio in relazione agli eventi di mareggiata e alle previsioni di innalzamento del livello medio marino, è da prevedere ove necessario e strategico un adeguamento in ampiezza e quota del sistema spiaggia, anche con ricostruzione del cordone dunoso ed eventuale riposizionamento dei servizi di spiaggia. Tali azioni, oltre a concorrere ad una riduzione dell’esposizione e dei danni da mareggiata, conferendo alla spiaggia una maggiore capacità di dissipazione dell’energia ondosa durante gli eventi, favorirebbe una migliore gestione degli arenili e aumenterebbe il livello di sicurezza del territorio interno.</w:t>
      </w:r>
    </w:p>
    <w:p w14:paraId="00000093" w14:textId="77777777" w:rsidR="00B212BB" w:rsidRDefault="00A5255B">
      <w:pPr>
        <w:jc w:val="both"/>
      </w:pPr>
      <w:r>
        <w:t>A tale scopo si individuano le seguenti linee di indirizzo:</w:t>
      </w:r>
    </w:p>
    <w:p w14:paraId="00000094" w14:textId="77777777" w:rsidR="00B212BB" w:rsidRDefault="00A5255B">
      <w:pPr>
        <w:pBdr>
          <w:top w:val="nil"/>
          <w:left w:val="nil"/>
          <w:bottom w:val="nil"/>
          <w:right w:val="nil"/>
          <w:between w:val="nil"/>
        </w:pBdr>
        <w:spacing w:after="120"/>
        <w:ind w:left="993" w:hanging="851"/>
        <w:jc w:val="both"/>
        <w:rPr>
          <w:color w:val="000000"/>
        </w:rPr>
      </w:pPr>
      <w:r>
        <w:rPr>
          <w:color w:val="000000"/>
        </w:rPr>
        <w:lastRenderedPageBreak/>
        <w:t>AA-5.1 -</w:t>
      </w:r>
      <w:r>
        <w:rPr>
          <w:color w:val="000000"/>
        </w:rPr>
        <w:tab/>
      </w:r>
      <w:r>
        <w:rPr>
          <w:b/>
          <w:color w:val="000000"/>
        </w:rPr>
        <w:t>Valutazione sullo stato di ampiezza e quota dei sistemi spiaggia</w:t>
      </w:r>
      <w:r>
        <w:rPr>
          <w:color w:val="000000"/>
        </w:rPr>
        <w:t>. Valutare in base ai dati disponibili e attraverso un monitoraggio sistematico con tecnica Lidar (ogni 4-5 anni) l’ampiezza e quota dei sistemi spiaggia, con riferimento ad un’ampiezza minima di 50 m della spiaggia (dalla battigia alla prima struttura longitudinale, lungo mare) e ad una quota di riferimento di +2,5 m del “sistema spiaggia” sul livello del medio mare (“sistema” inteso come composto da arenile, eventuale duna o rilevato di altra natura, eventuali muretti nel retrospiaggia in confine con viabilità e tessuto urbano), in relazione alle funzioni di protezione dell’entroterra dall’ingressione marina e dello svolgimento delle attività turistico balneari.</w:t>
      </w:r>
    </w:p>
    <w:p w14:paraId="00000095" w14:textId="77777777" w:rsidR="00B212BB" w:rsidRDefault="00A5255B">
      <w:pPr>
        <w:pBdr>
          <w:top w:val="nil"/>
          <w:left w:val="nil"/>
          <w:bottom w:val="nil"/>
          <w:right w:val="nil"/>
          <w:between w:val="nil"/>
        </w:pBdr>
        <w:spacing w:after="120"/>
        <w:ind w:left="993" w:hanging="851"/>
        <w:jc w:val="both"/>
        <w:rPr>
          <w:color w:val="000000"/>
        </w:rPr>
      </w:pPr>
      <w:r>
        <w:rPr>
          <w:color w:val="000000"/>
        </w:rPr>
        <w:t>AA-5.2 -</w:t>
      </w:r>
      <w:r>
        <w:rPr>
          <w:color w:val="000000"/>
        </w:rPr>
        <w:tab/>
      </w:r>
      <w:r>
        <w:rPr>
          <w:b/>
          <w:color w:val="000000"/>
        </w:rPr>
        <w:t>Spiaggia di progetto</w:t>
      </w:r>
      <w:r>
        <w:rPr>
          <w:color w:val="000000"/>
        </w:rPr>
        <w:t xml:space="preserve">. Definire per i diversi casi e contesti una “spiaggia di progetto” da mantenere o raggiungere, con una linea di riferimento in prossimità del raggiungimento della quale, per effetti erosivi confermati nell’arco </w:t>
      </w:r>
      <w:r>
        <w:rPr>
          <w:color w:val="000000"/>
          <w:highlight w:val="red"/>
        </w:rPr>
        <w:t>annuale</w:t>
      </w:r>
      <w:r>
        <w:rPr>
          <w:color w:val="000000"/>
        </w:rPr>
        <w:t>, è necessario intervenire con ripascimenti di manutenzione.</w:t>
      </w:r>
    </w:p>
    <w:p w14:paraId="00000096" w14:textId="77777777" w:rsidR="00B212BB" w:rsidRDefault="00A5255B">
      <w:pPr>
        <w:pBdr>
          <w:top w:val="nil"/>
          <w:left w:val="nil"/>
          <w:bottom w:val="nil"/>
          <w:right w:val="nil"/>
          <w:between w:val="nil"/>
        </w:pBdr>
        <w:ind w:left="993" w:hanging="851"/>
        <w:jc w:val="both"/>
        <w:rPr>
          <w:color w:val="000000"/>
        </w:rPr>
      </w:pPr>
      <w:r>
        <w:rPr>
          <w:color w:val="000000"/>
        </w:rPr>
        <w:t>AA-5.3 -</w:t>
      </w:r>
      <w:r>
        <w:rPr>
          <w:color w:val="000000"/>
        </w:rPr>
        <w:tab/>
      </w:r>
      <w:r>
        <w:rPr>
          <w:b/>
          <w:color w:val="000000"/>
        </w:rPr>
        <w:t>Interventi di rigenerazione del “sistema spiaggia”</w:t>
      </w:r>
      <w:r>
        <w:rPr>
          <w:color w:val="000000"/>
        </w:rPr>
        <w:t>, anche con tecniche di ingegneria naturalistica, per l’ampliamento dell’arenile e l’innalzamento delle quote, ove necessario, degli elementi che compongono il sistema considerando i livelli di elevazione totale della superficie del mare indicati dal PGRA per le diverse frequenze di eventi, utilizzati per la mappatura delle fasce di pericolosità in ambito costiero;</w:t>
      </w:r>
    </w:p>
    <w:p w14:paraId="00000097" w14:textId="77777777" w:rsidR="00B212BB" w:rsidRDefault="00A5255B">
      <w:pPr>
        <w:rPr>
          <w:b/>
        </w:rPr>
      </w:pPr>
      <w:r>
        <w:br w:type="page"/>
      </w:r>
    </w:p>
    <w:p w14:paraId="00000098" w14:textId="77777777" w:rsidR="00B212BB" w:rsidRDefault="00B212BB">
      <w:pPr>
        <w:jc w:val="both"/>
        <w:rPr>
          <w:b/>
        </w:rPr>
      </w:pPr>
    </w:p>
    <w:p w14:paraId="00000099" w14:textId="77777777" w:rsidR="00B212BB" w:rsidRDefault="00A5255B">
      <w:pPr>
        <w:shd w:val="clear" w:color="auto" w:fill="D9D9D9"/>
        <w:jc w:val="both"/>
        <w:rPr>
          <w:sz w:val="28"/>
          <w:szCs w:val="28"/>
        </w:rPr>
      </w:pPr>
      <w:r>
        <w:rPr>
          <w:sz w:val="28"/>
          <w:szCs w:val="28"/>
        </w:rPr>
        <w:t>AZIONI E INTERVENTI DI MANUTENZIONE E ADEGUAMENTO</w:t>
      </w:r>
    </w:p>
    <w:p w14:paraId="0000009A" w14:textId="77777777" w:rsidR="00B212BB" w:rsidRDefault="00A5255B">
      <w:pPr>
        <w:jc w:val="both"/>
        <w:rPr>
          <w:b/>
        </w:rPr>
      </w:pPr>
      <w:r>
        <w:rPr>
          <w:b/>
        </w:rPr>
        <w:t xml:space="preserve">C.1.12 – Indirizzi per la manutenzione ordinaria delle spiagge attraverso un sistema integrato di gestione dei sedimenti della fascia litoranea </w:t>
      </w:r>
      <w:r>
        <w:t xml:space="preserve">(Rif. </w:t>
      </w:r>
      <w:r>
        <w:rPr>
          <w:highlight w:val="lightGray"/>
        </w:rPr>
        <w:t>Azioni AM-1</w:t>
      </w:r>
      <w:r>
        <w:t>)</w:t>
      </w:r>
    </w:p>
    <w:p w14:paraId="0000009B" w14:textId="77777777" w:rsidR="00B212BB" w:rsidRDefault="00A5255B">
      <w:pPr>
        <w:jc w:val="both"/>
      </w:pPr>
      <w:r>
        <w:rPr>
          <w:u w:val="single"/>
        </w:rPr>
        <w:t>Soggetti</w:t>
      </w:r>
      <w:r>
        <w:t>: Regione, Comuni, ARSTPC, ARPAE, operatori balneari e loro forme associative/cooperative</w:t>
      </w:r>
    </w:p>
    <w:p w14:paraId="0000009C" w14:textId="77777777" w:rsidR="00B212BB" w:rsidRDefault="00A5255B">
      <w:pPr>
        <w:jc w:val="both"/>
      </w:pPr>
      <w:r>
        <w:t>Ai fini della gestione ordinaria delle spiagge è opportuno operare attraverso un sistema integrato (cfr. C.1.2) di gestione delle risorse di sedimenti disponibili lungo costa (presso moli, opere di difesa, bocche portuali, zone di convergenza dell’idrodinamica costiera), da scavi edili e infrastrutturali e da altre fonti terrestri in fascia litoranea, con interventi di manutenzione e ripascimenti, e attraverso buone pratiche di gestione dei sedimenti di spiaggia (pulizia con vagliatura in sito, argini invernali di protezione, barriere frangivento) tese alla riduzione delle perdite dal sistema.  A tale scopo si individuano le seguenti linee di indirizzo:</w:t>
      </w:r>
    </w:p>
    <w:p w14:paraId="0000009D" w14:textId="77777777" w:rsidR="00B212BB" w:rsidRDefault="00A5255B">
      <w:pPr>
        <w:pBdr>
          <w:top w:val="nil"/>
          <w:left w:val="nil"/>
          <w:bottom w:val="nil"/>
          <w:right w:val="nil"/>
          <w:between w:val="nil"/>
        </w:pBdr>
        <w:spacing w:after="120"/>
        <w:ind w:left="1134" w:hanging="992"/>
        <w:jc w:val="both"/>
        <w:rPr>
          <w:color w:val="000000"/>
        </w:rPr>
      </w:pPr>
      <w:r>
        <w:rPr>
          <w:color w:val="000000"/>
        </w:rPr>
        <w:t>AM-1.1 -</w:t>
      </w:r>
      <w:r>
        <w:rPr>
          <w:color w:val="000000"/>
        </w:rPr>
        <w:tab/>
      </w:r>
      <w:r>
        <w:rPr>
          <w:b/>
          <w:color w:val="000000"/>
        </w:rPr>
        <w:t>Interventi di manutenzione delle spiagge</w:t>
      </w:r>
      <w:r>
        <w:rPr>
          <w:color w:val="000000"/>
        </w:rPr>
        <w:t>. Sulla base del quadro delle risorse di sedimenti stimate disponibili periodicamente nelle aree idonee al prelievo (con riferimento al precedente paragrafo C.1.2), programmare gli interventi di manutenzione necessari per i tratti litoranei di riferimento (“tratti litoranei significativi ai fini gestionali – TLS”) da realizzare in base all’autorizzazione con validità pluriennale concessa per il rispettivo tratto, scheda TLS (cfr. AS-2.4), per le operazioni ricorrenti di manutenzione.</w:t>
      </w:r>
    </w:p>
    <w:p w14:paraId="0000009E" w14:textId="77777777" w:rsidR="00B212BB" w:rsidRDefault="00A5255B">
      <w:pPr>
        <w:pBdr>
          <w:top w:val="nil"/>
          <w:left w:val="nil"/>
          <w:bottom w:val="nil"/>
          <w:right w:val="nil"/>
          <w:between w:val="nil"/>
        </w:pBdr>
        <w:spacing w:after="120"/>
        <w:ind w:left="1134" w:hanging="992"/>
        <w:jc w:val="both"/>
        <w:rPr>
          <w:color w:val="000000"/>
        </w:rPr>
      </w:pPr>
      <w:r>
        <w:rPr>
          <w:color w:val="000000"/>
        </w:rPr>
        <w:t>AM-1.2 -</w:t>
      </w:r>
      <w:r>
        <w:rPr>
          <w:color w:val="000000"/>
        </w:rPr>
        <w:tab/>
      </w:r>
      <w:r>
        <w:rPr>
          <w:b/>
          <w:color w:val="000000"/>
        </w:rPr>
        <w:t>Banca dati sui dragaggi in ambito portuale</w:t>
      </w:r>
      <w:r>
        <w:rPr>
          <w:color w:val="000000"/>
        </w:rPr>
        <w:t>. Revisione e integrazione delle 2 banche dati sui porti e sulle aree di scarico a mare (parte della banca dati degli usi del mare interna al SIC)  con tutte le informazioni utili alla gestione dei dati di intervento e monitoraggio: necessità/richieste di dragaggio per gli ambiti e imboccature portuali, destinazione dei materiali, per il monitoraggio dei volumi portati nelle aree autorizzate di immersione deliberata al largo, o al ripascimento delle spiagge o altra destinazione, e ai fini del coordinamento con le necessità di ripascimento e manutenzione delle spiagge emerse e sommerse.</w:t>
      </w:r>
    </w:p>
    <w:p w14:paraId="0000009F" w14:textId="77777777" w:rsidR="00B212BB" w:rsidRDefault="00A5255B">
      <w:pPr>
        <w:pBdr>
          <w:top w:val="nil"/>
          <w:left w:val="nil"/>
          <w:bottom w:val="nil"/>
          <w:right w:val="nil"/>
          <w:between w:val="nil"/>
        </w:pBdr>
        <w:spacing w:after="120"/>
        <w:ind w:left="1134" w:hanging="992"/>
        <w:jc w:val="both"/>
        <w:rPr>
          <w:color w:val="000000"/>
        </w:rPr>
      </w:pPr>
      <w:r>
        <w:rPr>
          <w:color w:val="000000"/>
        </w:rPr>
        <w:t>AM-1.3 -</w:t>
      </w:r>
      <w:r>
        <w:rPr>
          <w:color w:val="000000"/>
        </w:rPr>
        <w:tab/>
      </w:r>
      <w:r>
        <w:rPr>
          <w:b/>
          <w:color w:val="000000"/>
        </w:rPr>
        <w:t>Applicazioni per il by-pass di sedimenti</w:t>
      </w:r>
      <w:r>
        <w:rPr>
          <w:color w:val="000000"/>
        </w:rPr>
        <w:t>. Implementare o sperimentare nuovi metodi e tecnologie per il by-pass dei sedimenti in corrispondenza delle bocche portuali, di opere trasversali o altre strutture aggettanti, che consentano una gestione in continuo secondo il flusso naturale lungo costa e il controllo dei processi di sedimentazione a evitare il formarsi di accumuli indesiderati.</w:t>
      </w:r>
    </w:p>
    <w:p w14:paraId="000000A0" w14:textId="77777777" w:rsidR="00B212BB" w:rsidRDefault="00A5255B">
      <w:pPr>
        <w:pBdr>
          <w:top w:val="nil"/>
          <w:left w:val="nil"/>
          <w:bottom w:val="nil"/>
          <w:right w:val="nil"/>
          <w:between w:val="nil"/>
        </w:pBdr>
        <w:spacing w:after="120"/>
        <w:ind w:left="1134" w:hanging="992"/>
        <w:jc w:val="both"/>
        <w:rPr>
          <w:color w:val="000000"/>
        </w:rPr>
      </w:pPr>
      <w:r>
        <w:rPr>
          <w:color w:val="000000"/>
        </w:rPr>
        <w:t>AM-1.4 -</w:t>
      </w:r>
      <w:r>
        <w:rPr>
          <w:color w:val="000000"/>
        </w:rPr>
        <w:tab/>
      </w:r>
      <w:r>
        <w:rPr>
          <w:b/>
          <w:color w:val="000000"/>
        </w:rPr>
        <w:t>Movimentazione dei sedimenti nei tratti interclusi fra barriere e battigia</w:t>
      </w:r>
      <w:r>
        <w:rPr>
          <w:color w:val="000000"/>
        </w:rPr>
        <w:t>. Nei tratti o celle litoranee con scogliere parallele emerse con bassi fondali interclusi fra esse e la battigia, valutare l’opportunità e nel caso realizzare interventi di movimentazione dei sedimenti verso riva, localizzati nello stesso tratto o cella litoranea, come pratica di gestione stagionale della spiaggia e di miglioramento dei fondali interclusi fra battigia e opere.</w:t>
      </w:r>
    </w:p>
    <w:p w14:paraId="000000A1" w14:textId="77777777" w:rsidR="00B212BB" w:rsidRDefault="00A5255B">
      <w:pPr>
        <w:pBdr>
          <w:top w:val="nil"/>
          <w:left w:val="nil"/>
          <w:bottom w:val="nil"/>
          <w:right w:val="nil"/>
          <w:between w:val="nil"/>
        </w:pBdr>
        <w:spacing w:after="120"/>
        <w:ind w:left="1134" w:hanging="992"/>
        <w:jc w:val="both"/>
        <w:rPr>
          <w:color w:val="000000"/>
        </w:rPr>
      </w:pPr>
      <w:r>
        <w:rPr>
          <w:color w:val="000000"/>
        </w:rPr>
        <w:t>AM-1.5 -</w:t>
      </w:r>
      <w:r>
        <w:rPr>
          <w:color w:val="000000"/>
        </w:rPr>
        <w:tab/>
      </w:r>
      <w:r>
        <w:rPr>
          <w:b/>
          <w:color w:val="000000"/>
        </w:rPr>
        <w:t>Pulizia delle spiagge con vagliatura in loco</w:t>
      </w:r>
      <w:r>
        <w:rPr>
          <w:color w:val="000000"/>
        </w:rPr>
        <w:t xml:space="preserve">. Introdurre disposizioni nei Piani dell’Arenile per la vagliatura diretta in spiaggia nelle operazioni di pulizia degli arenili e raccolta dei rifiuti, con adozione di metodi di pulizia selettiva e macchine di movimentazione che riducano l’asportazione delle sabbie, e il conferimento delle sabbie vagliate nelle aree di stoccaggio di cui al precedente punto AS-6.2 (paragrafo C.1.6), se non utilizzabili nell’immediato, come riserva per manutenzione/ripascimenti o realizzazione di argini invernali di protezione.  </w:t>
      </w:r>
    </w:p>
    <w:p w14:paraId="000000A2" w14:textId="77777777" w:rsidR="00B212BB" w:rsidRDefault="00A5255B">
      <w:pPr>
        <w:pBdr>
          <w:top w:val="nil"/>
          <w:left w:val="nil"/>
          <w:bottom w:val="nil"/>
          <w:right w:val="nil"/>
          <w:between w:val="nil"/>
        </w:pBdr>
        <w:spacing w:after="120"/>
        <w:ind w:left="1134" w:hanging="992"/>
        <w:jc w:val="both"/>
        <w:rPr>
          <w:color w:val="000000"/>
        </w:rPr>
      </w:pPr>
      <w:r>
        <w:rPr>
          <w:color w:val="000000"/>
        </w:rPr>
        <w:t>AM-1.6 -</w:t>
      </w:r>
      <w:r>
        <w:rPr>
          <w:color w:val="000000"/>
        </w:rPr>
        <w:tab/>
      </w:r>
      <w:r>
        <w:rPr>
          <w:b/>
          <w:color w:val="000000"/>
        </w:rPr>
        <w:t>Gestione delle biomasse spiaggiate</w:t>
      </w:r>
      <w:r>
        <w:rPr>
          <w:color w:val="000000"/>
        </w:rPr>
        <w:t>. Introdurre nei Piani dell’Arenile disposizioni relative alla gestione delle biomasse spiaggiate che preveda, laddove possibile, il mantenimento in loco del materiale a difesa dall’erosione. Si tratta di un’opzione applicabile generalmente nelle aree naturali costiere, parchi e riserve naturali, ma valutabile anche in stagione invernale nelle aree attrezzate per il turismo balneare, rimuovendo il materiale prima della stagione estiva e destinandolo eventualmente al rinforzo del cordone dunoso, ove presente.</w:t>
      </w:r>
    </w:p>
    <w:p w14:paraId="000000A3" w14:textId="77777777" w:rsidR="00B212BB" w:rsidRDefault="00A5255B">
      <w:pPr>
        <w:pBdr>
          <w:top w:val="nil"/>
          <w:left w:val="nil"/>
          <w:bottom w:val="nil"/>
          <w:right w:val="nil"/>
          <w:between w:val="nil"/>
        </w:pBdr>
        <w:spacing w:after="120"/>
        <w:ind w:left="1134" w:hanging="992"/>
        <w:jc w:val="both"/>
        <w:rPr>
          <w:color w:val="000000"/>
        </w:rPr>
      </w:pPr>
      <w:r>
        <w:rPr>
          <w:color w:val="000000"/>
        </w:rPr>
        <w:lastRenderedPageBreak/>
        <w:t>AM-1.7 -</w:t>
      </w:r>
      <w:r>
        <w:rPr>
          <w:color w:val="000000"/>
        </w:rPr>
        <w:tab/>
      </w:r>
      <w:r>
        <w:rPr>
          <w:b/>
          <w:color w:val="000000"/>
        </w:rPr>
        <w:t>Barriere frangivento</w:t>
      </w:r>
      <w:r>
        <w:rPr>
          <w:color w:val="000000"/>
        </w:rPr>
        <w:t>. Introdurre nei Piani dell’Arenile disposizioni relative alla realizzazione di trappole eoliche, barriere frangivento stagionali, anche combinate con argini invernali o, dove possibile e con particolare attenzione all’inserimento paesaggistico, barriere frangivento permanenti, al fine di ridurre le perdite di sedimenti dalle spiagge dovute all’azione del vento e limitare le connesse problematiche generate sulla viabilità e sulle canalizzazioni dei sistemi fognari. Sono da prediligere reti costituite da materiali naturali o biodegradabili sostenute da paletti o telai in legno, o altro materiale idoneo, posizionate davanti agli stabilimenti balneari o comunque, il più possibile lontano dalla riva, con elementi orientati opportunamente secondo la direzione dei venti dominanti. Condizione minima per le barriere frangivento permanenti è un’ampiezza di spiaggia fra i 40 e i 50 metri dalla battigia e la linea di imposizione della barriera.</w:t>
      </w:r>
    </w:p>
    <w:p w14:paraId="000000A4" w14:textId="77777777" w:rsidR="00B212BB" w:rsidRDefault="00A5255B">
      <w:pPr>
        <w:pBdr>
          <w:top w:val="nil"/>
          <w:left w:val="nil"/>
          <w:bottom w:val="nil"/>
          <w:right w:val="nil"/>
          <w:between w:val="nil"/>
        </w:pBdr>
        <w:spacing w:after="120"/>
        <w:ind w:left="1134" w:hanging="992"/>
        <w:jc w:val="both"/>
        <w:rPr>
          <w:color w:val="000000"/>
        </w:rPr>
      </w:pPr>
      <w:bookmarkStart w:id="2" w:name="_heading=h.1fob9te" w:colFirst="0" w:colLast="0"/>
      <w:bookmarkEnd w:id="2"/>
      <w:r>
        <w:rPr>
          <w:color w:val="000000"/>
        </w:rPr>
        <w:t>AM-1.8 -</w:t>
      </w:r>
      <w:r>
        <w:rPr>
          <w:color w:val="000000"/>
        </w:rPr>
        <w:tab/>
      </w:r>
      <w:r>
        <w:rPr>
          <w:b/>
          <w:color w:val="000000"/>
        </w:rPr>
        <w:t>Argini invernali di protezione</w:t>
      </w:r>
      <w:r>
        <w:rPr>
          <w:color w:val="000000"/>
        </w:rPr>
        <w:t>. Introdurre nei Piani dell’Arenile disposizioni relative alle modalità di realizzazione di argini invernali di protezione che evitino l’utilizzo delle sabbie di battigia, il cui prelievo determina un abbassamento del profilo di spiaggia e una conseguente maggiore esposizione alle mareggiate, a favore dell’utilizzo di sabbie da altre fonti (pulizia delle spiagge, scavi edili e infrastrutturali, aree di stoccaggio individuate dai Comuni). Forma e posizionamento dell’argine dovrebbero tener conto di un’altezza di berma fino a +2,5 m sul livello del medio mare (con riferimento all’elevazione totale della superficie del mare indicata dal PGRA per gli eventi più severi), una pendenza lato mare non inferiore ad 1 su 4 e una posizione del piede verso mare generalmente al di sopra della linea delle mareggiate ordinarie e ove possibile almeno a 20 metri dalla battigia. Le operazioni di stesa del materiale, prima dell’avvio della stagione balneare, non devono in ogni caso condurre ad un abbassamento del profilo di spiaggia rispetto a quello originale, tipico o di progetto.</w:t>
      </w:r>
    </w:p>
    <w:p w14:paraId="000000A5" w14:textId="77777777" w:rsidR="00B212BB" w:rsidRDefault="00A5255B">
      <w:pPr>
        <w:pBdr>
          <w:top w:val="nil"/>
          <w:left w:val="nil"/>
          <w:bottom w:val="nil"/>
          <w:right w:val="nil"/>
          <w:between w:val="nil"/>
        </w:pBdr>
        <w:spacing w:after="120"/>
        <w:ind w:left="1134" w:hanging="992"/>
        <w:jc w:val="both"/>
        <w:rPr>
          <w:color w:val="000000"/>
        </w:rPr>
      </w:pPr>
      <w:r>
        <w:rPr>
          <w:color w:val="000000"/>
        </w:rPr>
        <w:t>AM-1.9 -</w:t>
      </w:r>
      <w:r>
        <w:rPr>
          <w:color w:val="000000"/>
        </w:rPr>
        <w:tab/>
      </w:r>
      <w:r>
        <w:rPr>
          <w:b/>
          <w:color w:val="000000"/>
        </w:rPr>
        <w:t>Uso delle spiagge in stagioni diverse da quella balneare</w:t>
      </w:r>
      <w:r>
        <w:rPr>
          <w:color w:val="000000"/>
        </w:rPr>
        <w:t xml:space="preserve">. L’uso eventuale delle spiagge al di fuori della stagione balneare (con riferimento al punto AA-2.4f, paragrafo C.1.8) deve avvenire in subordine e nel rispetto delle operazioni di gestione stagionali dell’arenile, delle strutture temporanee di protezione poste in opera e in relazione alle condizioni di pericolosità proprie di un ambiente ad elevata probabilità di inondazione (fascia P3 del PGRA). Le attività o eventi in questo ambito possono essere autorizzate, fatte salve le condizioni meteo previste, con prescrizioni mirate ad una organizzazione che garantisca, in caso di allerta meteo per mareggiata, una rapida evacuazione delle persone presenti e una rapida smobilitazione di strutture eventualmente montate per l’attività stessa. </w:t>
      </w:r>
    </w:p>
    <w:p w14:paraId="000000A6" w14:textId="77777777" w:rsidR="00B212BB" w:rsidRDefault="00A5255B">
      <w:pPr>
        <w:pBdr>
          <w:top w:val="nil"/>
          <w:left w:val="nil"/>
          <w:bottom w:val="nil"/>
          <w:right w:val="nil"/>
          <w:between w:val="nil"/>
        </w:pBdr>
        <w:spacing w:after="0"/>
        <w:ind w:left="1134" w:hanging="992"/>
        <w:jc w:val="both"/>
        <w:rPr>
          <w:color w:val="000000"/>
        </w:rPr>
      </w:pPr>
      <w:r>
        <w:rPr>
          <w:color w:val="000000"/>
        </w:rPr>
        <w:t>AM-1.10 -</w:t>
      </w:r>
      <w:r>
        <w:rPr>
          <w:color w:val="000000"/>
        </w:rPr>
        <w:tab/>
      </w:r>
      <w:r>
        <w:rPr>
          <w:b/>
          <w:color w:val="000000"/>
        </w:rPr>
        <w:t>Uso della spiaggia in corrispondenza di opere o interventi di ripascimento</w:t>
      </w:r>
      <w:r>
        <w:rPr>
          <w:color w:val="000000"/>
        </w:rPr>
        <w:t>. L’uso di porzioni di spiaggia che si creano in corrispondenza di interventi su opere o di interventi di ripascimento non può prevedere l’installazione di nuove strutture anche temporanee o l’estensione delle superfici dedicate all’ombreggiamento oltre a quelle già in concessione agli stabilimenti balneari, prima della verifica di consolidamento della porzione di spiaggia creatasi in un arco temporale di almeno due anni.</w:t>
      </w:r>
    </w:p>
    <w:p w14:paraId="000000A7" w14:textId="77777777" w:rsidR="00B212BB" w:rsidRDefault="00B212BB">
      <w:pPr>
        <w:pBdr>
          <w:top w:val="nil"/>
          <w:left w:val="nil"/>
          <w:bottom w:val="nil"/>
          <w:right w:val="nil"/>
          <w:between w:val="nil"/>
        </w:pBdr>
        <w:spacing w:after="0"/>
        <w:ind w:left="1134" w:hanging="992"/>
        <w:jc w:val="both"/>
        <w:rPr>
          <w:color w:val="000000"/>
        </w:rPr>
      </w:pPr>
    </w:p>
    <w:p w14:paraId="000000A8" w14:textId="77777777" w:rsidR="00B212BB" w:rsidRDefault="00A5255B">
      <w:pPr>
        <w:jc w:val="both"/>
        <w:rPr>
          <w:b/>
        </w:rPr>
      </w:pPr>
      <w:r>
        <w:rPr>
          <w:b/>
          <w:sz w:val="24"/>
          <w:szCs w:val="24"/>
        </w:rPr>
        <w:t>C.1.13 – Indirizzi per la manutenzione e riqualificazione delle opere di difesa a mare</w:t>
      </w:r>
      <w:r>
        <w:t xml:space="preserve"> (Rif. </w:t>
      </w:r>
      <w:r>
        <w:rPr>
          <w:highlight w:val="lightGray"/>
        </w:rPr>
        <w:t>Azioni AM-2</w:t>
      </w:r>
      <w:r>
        <w:t>)</w:t>
      </w:r>
    </w:p>
    <w:p w14:paraId="000000A9" w14:textId="77777777" w:rsidR="00B212BB" w:rsidRDefault="00A5255B">
      <w:pPr>
        <w:jc w:val="both"/>
      </w:pPr>
      <w:r>
        <w:rPr>
          <w:u w:val="single"/>
        </w:rPr>
        <w:t>Soggetti</w:t>
      </w:r>
      <w:r>
        <w:t>: Regione, Comuni, ARSTPC, ARPAE</w:t>
      </w:r>
    </w:p>
    <w:p w14:paraId="000000AA" w14:textId="77777777" w:rsidR="00B212BB" w:rsidRDefault="00A5255B">
      <w:pPr>
        <w:jc w:val="both"/>
      </w:pPr>
      <w:r>
        <w:t xml:space="preserve">Il sistema di difese a mare della costa regionale, ereditato in massima parte dalla gestione statale precedente il passaggio di competenze introdotto dal Dlgs 112/98, rappresenta un patrimonio importante ma alquanto datato in termini di conservazione e di efficacia, che necessita di manutenzione costante e in alcuni casi di riqualificazione o rimodulazione. Si tratta di sistemi di opere, di varia forma e natura, il cui scopo non è direttamente quello della protezione dall’ingressione marina ma piuttosto quello di fermare o meglio rallentare l’erosione. Tali opere, che si sono mostrate più efficaci in alcuni casi, meno in altri, in generale hanno in generale effetti negativi più o meno marcati, spostando il fenomeno erosivo nei tratti sottoflutto. La Regione si è fatta carico della manutenzione e in alcuni casi della sperimentazione di modifiche o </w:t>
      </w:r>
      <w:r>
        <w:lastRenderedPageBreak/>
        <w:t xml:space="preserve">rimodulazione di tali opere. L’approccio per tali interventi deve essere volto a garantirne l’efficienza e a migliorarne l’efficacia riducendo, per quanto possibile, gli effetti dinamici e </w:t>
      </w:r>
      <w:proofErr w:type="spellStart"/>
      <w:r>
        <w:t>morfodinamici</w:t>
      </w:r>
      <w:proofErr w:type="spellEnd"/>
      <w:r>
        <w:t xml:space="preserve"> negativi/indesiderati</w:t>
      </w:r>
      <w:r>
        <w:rPr>
          <w:vertAlign w:val="superscript"/>
        </w:rPr>
        <w:footnoteReference w:id="5"/>
      </w:r>
      <w:r>
        <w:t xml:space="preserve">; il miglioramento della qualità delle acque e dei fondali interclusi, fra opere e battigia, e il miglioramento dell’aspetto paesaggistico dei litorali sono ulteriori finalità da considerare per gli interventi di manutenzione e riqualificazione delle opere esistenti. </w:t>
      </w:r>
    </w:p>
    <w:p w14:paraId="000000AB" w14:textId="77777777" w:rsidR="00B212BB" w:rsidRDefault="00A5255B">
      <w:pPr>
        <w:jc w:val="both"/>
      </w:pPr>
      <w:r>
        <w:t>A tale scopo si individuano le seguenti linee di indirizzo:</w:t>
      </w:r>
    </w:p>
    <w:p w14:paraId="000000AC" w14:textId="77777777" w:rsidR="00B212BB" w:rsidRDefault="00A5255B">
      <w:pPr>
        <w:ind w:left="1134" w:hanging="992"/>
        <w:jc w:val="both"/>
      </w:pPr>
      <w:r>
        <w:t>AM-2.1 -</w:t>
      </w:r>
      <w:r>
        <w:tab/>
      </w:r>
      <w:r>
        <w:rPr>
          <w:b/>
        </w:rPr>
        <w:t>Rilievi programmati per la verifica dello stato di conservazione e funzionalità delle opere di difesa a mare.</w:t>
      </w:r>
      <w:r>
        <w:t xml:space="preserve"> Implementare attività periodiche di ricognizione sulle opere (rilievi Lidar), ma anche durante e/o successivamente ad eventi di mareggiata con il supporto di adeguata strumentazione tecnica (es. droni, webcam fisse, Gps), al fine di valutare in maniera più puntuale l’evoluzione del paraggio costiero e per valutare le criticità presenti, o quelle manifestatesi a seguito di mareggiate, sulle opere e la funzionalità delle stesse. Programmare rilievi topo-batimetrici mirati alla valutazione dello stato delle opere e dei fondali prospicienti ad esse con cadenza regolare o successivamente alle mareggiate di impatto significativo, a supporto anche della progettazione di interventi di manutenzione/riqualificazione e rimodulazione;</w:t>
      </w:r>
    </w:p>
    <w:p w14:paraId="000000AD" w14:textId="77777777" w:rsidR="00B212BB" w:rsidRDefault="00A5255B">
      <w:pPr>
        <w:ind w:left="1134" w:hanging="992"/>
        <w:jc w:val="both"/>
      </w:pPr>
      <w:r>
        <w:t>AM-2.2 -</w:t>
      </w:r>
      <w:r>
        <w:tab/>
      </w:r>
      <w:r>
        <w:rPr>
          <w:b/>
        </w:rPr>
        <w:t>Aggiornamento dalla Banca Dati delle opere di difesa</w:t>
      </w:r>
      <w:r>
        <w:t>. Aggiornamento della banca dati (integrata nel SIC) relativa ai dati sullo stato di conservazione delle opere a mare, livello di funzionalità, tipi di lavori effettuati, somme investite, e possibile integrazione con campi attualmente non esistenti.</w:t>
      </w:r>
    </w:p>
    <w:p w14:paraId="000000AE" w14:textId="77777777" w:rsidR="00B212BB" w:rsidRDefault="00A5255B">
      <w:pPr>
        <w:ind w:left="1134" w:hanging="992"/>
        <w:jc w:val="both"/>
      </w:pPr>
      <w:r>
        <w:t xml:space="preserve">AM-2.3 - </w:t>
      </w:r>
      <w:r>
        <w:tab/>
      </w:r>
      <w:r>
        <w:rPr>
          <w:b/>
        </w:rPr>
        <w:t>Manutenzione delle opere di difesa</w:t>
      </w:r>
      <w:r>
        <w:t>. Realizzazione di interventi di manutenzione delle opere di difesa non più adeguate nella forma (quota e ampiezza della berma, pendenza scarpata ecc.) ed efficienza (con riferimento al quadro conoscitivo disponibile), mediante interventi di manutenzione/rifiorimento e ripristino funzionale;</w:t>
      </w:r>
    </w:p>
    <w:p w14:paraId="000000AF" w14:textId="77777777" w:rsidR="00B212BB" w:rsidRDefault="00A5255B">
      <w:pPr>
        <w:ind w:left="1134" w:hanging="992"/>
        <w:jc w:val="both"/>
      </w:pPr>
      <w:r>
        <w:t>AM-2.4 -</w:t>
      </w:r>
      <w:r>
        <w:tab/>
      </w:r>
      <w:r>
        <w:rPr>
          <w:b/>
        </w:rPr>
        <w:t>Miglioramento della qualità dei fondali interclusi</w:t>
      </w:r>
      <w:r>
        <w:t>. Interventi di modifica dell’assetto delle opere di difesa, anche con opportune movimentazioni di sedimenti, volti a favorire il miglioramento della qualità dei fondali e delle acque nelle zone intercluse tra la battigia e le opere longitudinali emerse, previa valutazione degli effetti nell’ambito delle unità litoranee gestionali di riferimento (marco-cella o gruppi di celle del sistema SICELL);</w:t>
      </w:r>
    </w:p>
    <w:p w14:paraId="000000B0" w14:textId="77777777" w:rsidR="00B212BB" w:rsidRDefault="00A5255B">
      <w:pPr>
        <w:ind w:left="1134" w:hanging="992"/>
        <w:jc w:val="both"/>
      </w:pPr>
      <w:r>
        <w:t>AM-2.5 -</w:t>
      </w:r>
      <w:r>
        <w:tab/>
      </w:r>
      <w:r>
        <w:rPr>
          <w:b/>
        </w:rPr>
        <w:t>Riqualificazione di tratti di costa protetti da sistemi di opere rigide</w:t>
      </w:r>
      <w:r>
        <w:t>. Laddove le opere abbiano determinato una stabilizzazione della linea di riva, con avanzamento finanche in prossimità dell’allineamento delle opere stesse, possono essere previsti interventi di risagomatura, riallineamento, riposizionamento o anche di rimozione, valutandone preliminarmente gli effetti nell’ambito delle unità litoranee gestionali di riferimento (marco-cella o gruppi di celle del sistema SICELL);</w:t>
      </w:r>
    </w:p>
    <w:p w14:paraId="000000B1" w14:textId="77777777" w:rsidR="00B212BB" w:rsidRDefault="00A5255B">
      <w:pPr>
        <w:ind w:left="1134" w:hanging="992"/>
        <w:jc w:val="both"/>
      </w:pPr>
      <w:r>
        <w:t xml:space="preserve">AM-2.6 - </w:t>
      </w:r>
      <w:r>
        <w:tab/>
      </w:r>
      <w:r>
        <w:rPr>
          <w:b/>
        </w:rPr>
        <w:t>Nuove opere e sistemi di difesa</w:t>
      </w:r>
      <w:r>
        <w:t>. Limitatamente ai tratti in cui non sia sostenibile (tecnicamente o economicamente) procedere al reintegro dei sedimenti mediante interventi di ripascimento artificiale, ovvero con rimobilitazione dei sedimenti e ripristino del trasporto solido dai bacini fluviali e dalle zone litoranee in accumulo, si potranno valutare interventi di realizzazione di nuove opere e sistemi di difesa al fine di ridurre il tasso di erosione locale, considerandone gli effetti a scala di unità litoranea gestionale. Saranno da privilegiare, in tal caso, opere o sistemi di opere sommerse e manufatti in grado di garantire il necessario ricambio idrico;</w:t>
      </w:r>
    </w:p>
    <w:p w14:paraId="000000B2" w14:textId="77777777" w:rsidR="00B212BB" w:rsidRDefault="00A5255B">
      <w:pPr>
        <w:ind w:left="1134" w:hanging="992"/>
        <w:jc w:val="both"/>
      </w:pPr>
      <w:r>
        <w:t xml:space="preserve">AM-2.7 - </w:t>
      </w:r>
      <w:r>
        <w:tab/>
      </w:r>
      <w:r>
        <w:rPr>
          <w:b/>
        </w:rPr>
        <w:t>Sperimentazione di manufatti e opere per interventi multi-obiettivo in ambito costiero.</w:t>
      </w:r>
      <w:r>
        <w:t xml:space="preserve"> Si tratta di interventi quali ad esempio la creazione di reef artificiali per la diversificazione dell’habitat marino, la creazione di surf-spot per la dissipazione del moto ondoso incidente, dispositivi per la produzione energetica da moto ondoso determinando smorzamento, ecc., che </w:t>
      </w:r>
      <w:r>
        <w:lastRenderedPageBreak/>
        <w:t>possono avere effetti benefici sulla riduzione del tasso di erosione costiera. La sperimentazione di tali manufatti dovrà essere progettata secondo precisi criteri tecnici e accompagnata da un attento monitoraggio morfologico e funzionale. Se del caso, la sperimentazione dovrà essere assoggetta alla procedura di VIA. In tutti i casi la sperimentazione di opere e manufatti in ambito costiero dovrà prevedere l’accantonamento delle risorse economiche necessarie per la rimozione, da parte del proponente, in caso di inefficacia o danni al sistema costiero.</w:t>
      </w:r>
    </w:p>
    <w:p w14:paraId="000000B3" w14:textId="77777777" w:rsidR="00B212BB" w:rsidRDefault="00A5255B">
      <w:pPr>
        <w:ind w:left="1134" w:hanging="992"/>
        <w:jc w:val="both"/>
      </w:pPr>
      <w:r>
        <w:t xml:space="preserve">AM-2.8 - </w:t>
      </w:r>
      <w:r>
        <w:tab/>
      </w:r>
      <w:r>
        <w:rPr>
          <w:b/>
        </w:rPr>
        <w:t>Approfondimenti sul clima meteo-marino ai fini della progettazione</w:t>
      </w:r>
      <w:r>
        <w:t>. Ai fini di una migliore progettazione degli interventi di sperimentazione, riqualificazione, rimodulazione, salpamento, o nuove opere, è opportuno procedere con studi e approfondimenti sul clima meteo-marino che contemplino la caratterizzazione del moto ondoso, del livello di marea e delle correnti lungo costa, a livello regionale e unità gestionali litoranee (macro-celle SICELL). Un particolare focus andrà effettuato, anche sulla base di opportuna modellazione, per il paraggio costiero in cui ricade l’intervento in progetto.</w:t>
      </w:r>
    </w:p>
    <w:p w14:paraId="000000B4" w14:textId="77777777" w:rsidR="00B212BB" w:rsidRDefault="00A5255B">
      <w:pPr>
        <w:ind w:left="1134" w:hanging="992"/>
        <w:jc w:val="both"/>
      </w:pPr>
      <w:r>
        <w:t>AM-2.9 -</w:t>
      </w:r>
      <w:r>
        <w:rPr>
          <w:b/>
        </w:rPr>
        <w:t xml:space="preserve"> Monitoraggio degli interventi di difesa a mare</w:t>
      </w:r>
      <w:r>
        <w:t>. Prevedere nell’ambito degli interventi realizzati di cui ai precedenti punti, specifiche attività di monitoraggio morfologico e ambientale al fine di poter valutare gli effetti degli stessi sul tratto costiero direttamente interessato e su quelli limitrofi e consentire lo studio di eventuali modifiche e miglioramenti da apportare agli stessi o in progetti d’intervento analoghi e successivi.</w:t>
      </w:r>
    </w:p>
    <w:p w14:paraId="000000B5" w14:textId="77777777" w:rsidR="00B212BB" w:rsidRDefault="00A5255B">
      <w:pPr>
        <w:jc w:val="both"/>
        <w:rPr>
          <w:b/>
        </w:rPr>
      </w:pPr>
      <w:r>
        <w:rPr>
          <w:b/>
          <w:sz w:val="24"/>
          <w:szCs w:val="24"/>
        </w:rPr>
        <w:t xml:space="preserve">C.1.14 – Indirizzi per la manutenzione, ripristino e adeguamento in quota delle difese radenti e degli argini di difesa interni </w:t>
      </w:r>
      <w:r>
        <w:t>(Rif. Azioni AM-3)</w:t>
      </w:r>
    </w:p>
    <w:p w14:paraId="000000B6" w14:textId="77777777" w:rsidR="00B212BB" w:rsidRDefault="00A5255B">
      <w:pPr>
        <w:jc w:val="both"/>
      </w:pPr>
      <w:r>
        <w:rPr>
          <w:u w:val="single"/>
        </w:rPr>
        <w:t>Soggetti</w:t>
      </w:r>
      <w:r>
        <w:t>: Regione, Comuni, Consorzi di Bonifica, ARSTPC, Autorità marittime</w:t>
      </w:r>
    </w:p>
    <w:p w14:paraId="000000B7" w14:textId="77777777" w:rsidR="00B212BB" w:rsidRDefault="00A5255B">
      <w:pPr>
        <w:spacing w:after="120"/>
        <w:jc w:val="both"/>
      </w:pPr>
      <w:r>
        <w:t xml:space="preserve">Le difese radenti e gli argini di difesa interni o rilevati infrastrutturali continui se presenti, laddove non vi sia più una spiaggia emersa o le quote di spiaggia non siano adeguate a contenere le mareggiate più severe (con riferimento alle mappe di pericolosità del PGRA), sono le strutture che, più delle difese a mare, hanno funzione di contrasto al fenomeno dell’ingressione marina. La continuità dell’opera, che deve essere esente da varchi, e la continuità della quota e dell’ampiezza di berma, sono elementi strutturali da monitorare, valutare e necessariamente ripristinare o adeguare in funzione dei livelli marini attesi per eventi con tempi di ritorno anche superiore a </w:t>
      </w:r>
      <w:proofErr w:type="gramStart"/>
      <w:r>
        <w:t>100</w:t>
      </w:r>
      <w:proofErr w:type="gramEnd"/>
      <w:r>
        <w:t xml:space="preserve"> anni, considerando opportuni “franchi” in relazione anche agli scenari attesi dell’innalzamento del livello marino. </w:t>
      </w:r>
    </w:p>
    <w:p w14:paraId="000000B8" w14:textId="77777777" w:rsidR="00B212BB" w:rsidRDefault="00A5255B">
      <w:pPr>
        <w:jc w:val="both"/>
      </w:pPr>
      <w:r>
        <w:t>A tale scopo si individuano le seguenti linee di indirizzo:</w:t>
      </w:r>
    </w:p>
    <w:p w14:paraId="000000B9" w14:textId="77777777" w:rsidR="00B212BB" w:rsidRDefault="00A5255B">
      <w:pPr>
        <w:ind w:left="1134" w:hanging="992"/>
        <w:jc w:val="both"/>
      </w:pPr>
      <w:r>
        <w:t>AM-3.1 -</w:t>
      </w:r>
      <w:r>
        <w:tab/>
      </w:r>
      <w:r>
        <w:rPr>
          <w:b/>
        </w:rPr>
        <w:t xml:space="preserve">Ricognizioni sullo stato di conservazione e funzionalità delle difese radenti. </w:t>
      </w:r>
      <w:r>
        <w:t>Implementare attività periodiche di ricognizione sulle opere (rilievi Lidar), ma anche durante e/o successivamente ad eventi di mareggiata con il supporto di strumentazione tecnica (es. droni, webcam fisse, Gps) webcam fisse posizionate nei punti critici, GPS per rilievi speditivi, al fine di valutare in maniera più puntuale l’evoluzione del paraggio costiero e per valutare le criticità presenti, o quelle manifestatesi a seguito di mareggiate, sulle opere e la funzionalità delle stesse. Programmare rilievi topo-batimetrici mirati alla valutazione dello stato delle opere di difesa radenti e dei fondali prospicienti ad esse con cadenza regolare o successivamente alle mareggiate di impatto significativo, a supporto anche della progettazione di interventi di manutenzione/riqualificazione e adeguamento.</w:t>
      </w:r>
    </w:p>
    <w:p w14:paraId="000000BA" w14:textId="77777777" w:rsidR="00B212BB" w:rsidRDefault="00A5255B">
      <w:pPr>
        <w:ind w:left="1134" w:hanging="992"/>
        <w:jc w:val="both"/>
      </w:pPr>
      <w:r>
        <w:t>AM-3.2 -</w:t>
      </w:r>
      <w:r>
        <w:tab/>
      </w:r>
      <w:r>
        <w:rPr>
          <w:b/>
        </w:rPr>
        <w:t>Ricognizioni sullo stato di conservazione e funzionalità degli argini di difesa interni</w:t>
      </w:r>
      <w:r>
        <w:t xml:space="preserve">. Per gli argini interni afferenti al sistema dei canali adduttori alle Valli di Comacchio e l’argine Acciaioli nel ferrarese, dovrà essere eseguita una ricognizione annuale tramite attività di vigilanza in capo all’ARSTPC ed ai Comuni, se titolari di concessione per piste ciclabili e/o strade sulla sommità arginale, al fine di valutare gli impatti del moto ondoso indotto dalla navigazione, delle escursioni di marea, delle piogge. Per gli argini interni non afferenti al sistema dei canali è comunque </w:t>
      </w:r>
      <w:r>
        <w:lastRenderedPageBreak/>
        <w:t xml:space="preserve">opportuno monitorare e mappare la presenza di infrastrutture tecnologiche che possono compromettere la resistenza della struttura stessa. </w:t>
      </w:r>
    </w:p>
    <w:p w14:paraId="000000BB" w14:textId="77777777" w:rsidR="00B212BB" w:rsidRDefault="00A5255B">
      <w:pPr>
        <w:ind w:left="1134" w:hanging="992"/>
        <w:jc w:val="both"/>
      </w:pPr>
      <w:r>
        <w:t>AM-3.3 -</w:t>
      </w:r>
      <w:r>
        <w:tab/>
      </w:r>
      <w:r>
        <w:rPr>
          <w:b/>
        </w:rPr>
        <w:t>Banca dati</w:t>
      </w:r>
      <w:r>
        <w:t xml:space="preserve"> </w:t>
      </w:r>
      <w:r>
        <w:rPr>
          <w:b/>
        </w:rPr>
        <w:t>sullo stato di conservazione delle opere radenti e argini di difesa interni.</w:t>
      </w:r>
      <w:r>
        <w:t xml:space="preserve"> Aggiornamento della banca dati sulle opere di difesa esistente nel SIC con le informazioni sullo stato di conservazione, livello di funzionalità, tipi di lavori effettuati, somme investite, attribuzione catastale, delle opere radenti e argini di difesa interni, in modo da avere a sistema ulteriori e più complete informazioni utili alla programmazione delle risorse regionali e alla attuazione delle misure del PGRA.</w:t>
      </w:r>
    </w:p>
    <w:p w14:paraId="000000BC" w14:textId="77777777" w:rsidR="00B212BB" w:rsidRDefault="00A5255B">
      <w:pPr>
        <w:ind w:left="1134" w:hanging="992"/>
        <w:jc w:val="both"/>
      </w:pPr>
      <w:r>
        <w:t>AM-3.4 -</w:t>
      </w:r>
      <w:r>
        <w:tab/>
      </w:r>
      <w:r>
        <w:rPr>
          <w:b/>
        </w:rPr>
        <w:t>Mappatura e recepimento catastale delle opere radenti e argini di difesa interni</w:t>
      </w:r>
      <w:r>
        <w:t>. Mappatura delle opere all’interno degli elaborati dei piani urbanistici comunali e settoriali in coerenza con la normativa vigente</w:t>
      </w:r>
      <w:r>
        <w:rPr>
          <w:vertAlign w:val="superscript"/>
        </w:rPr>
        <w:footnoteReference w:id="6"/>
      </w:r>
      <w:r>
        <w:t xml:space="preserve"> di gestione e tutela delle opere idrauliche di seconda categoria. Inquadramento delle opere nella cartografia catastale, in collaborazione con i Comuni e/o le Autorità Marittime competenti, al fine di individuare la tipologia demaniale delle aree su cui insistono (marittimo e/o idrico) e definire competenze e procedure amministrative da applicare in caso di intervento. Con riferimento alle opere che insistono su aree private, ai fini dei della gestione dei lavori sono da valutare le opzioni di esproprio, accordo bonario, servitù, procedimenti specifici per l’esecuzione dei lavori di manutenzione.</w:t>
      </w:r>
    </w:p>
    <w:p w14:paraId="000000BD" w14:textId="77777777" w:rsidR="00B212BB" w:rsidRDefault="00A5255B">
      <w:pPr>
        <w:ind w:left="1134" w:hanging="992"/>
        <w:jc w:val="both"/>
      </w:pPr>
      <w:r>
        <w:t xml:space="preserve">AM-3.5 - </w:t>
      </w:r>
      <w:r>
        <w:tab/>
      </w:r>
      <w:r>
        <w:rPr>
          <w:b/>
        </w:rPr>
        <w:t>Manutenzione e adeguamento delle opere di difesa radenti</w:t>
      </w:r>
      <w:r>
        <w:t xml:space="preserve">. Realizzazione di interventi di manutenzione delle opere di difesa radenti per le criticità individuate in termini di stato di conservazione ed efficienza. In considerazione dei livelli dell’elevazione totale della superficie del mare indicata per eventi e relativi tempi di ritorno indicati dal PGRA, +1,5 m per eventi con </w:t>
      </w:r>
      <w:proofErr w:type="spellStart"/>
      <w:r>
        <w:t>Tr</w:t>
      </w:r>
      <w:proofErr w:type="spellEnd"/>
      <w:r>
        <w:t xml:space="preserve"> 10 anni, + 1,8 m per eventi con </w:t>
      </w:r>
      <w:proofErr w:type="spellStart"/>
      <w:r>
        <w:t>Tr</w:t>
      </w:r>
      <w:proofErr w:type="spellEnd"/>
      <w:r>
        <w:t xml:space="preserve"> 100 anni, + 2,5 m per eventi con </w:t>
      </w:r>
      <w:proofErr w:type="spellStart"/>
      <w:r>
        <w:t>Tr</w:t>
      </w:r>
      <w:proofErr w:type="spellEnd"/>
      <w:r>
        <w:t xml:space="preserve"> superiore a 100 anni, e di opportuni franchi in relazione alle previsioni di innalzamento del livello del medio mare fra il 2050 e il 2100, valutare anche sulla base di studi e modellazioni se al ripristino di ogni tratto in sofferenza delle opere è necessario far seguire un intervento di adeguamento plano-altimetrico e le eventuali ricadute dal punto di vista urbanistico. Date le caratteristiche di un’opera radente, difficilmente ampliabile lato mare per questioni legate alla stabilità e alle pendenze dei fondali antistanti generalmente in erosione, in caso di necessità di adeguamento plano-altimetrico si dovrà valutare l’ampliamento dell’area demaniale a terra con procedure anche di esproprio, seguendo una logica di arretramento controllato. </w:t>
      </w:r>
    </w:p>
    <w:p w14:paraId="000000BE" w14:textId="77777777" w:rsidR="00B212BB" w:rsidRDefault="00A5255B">
      <w:pPr>
        <w:ind w:left="1134" w:hanging="992"/>
        <w:jc w:val="both"/>
      </w:pPr>
      <w:r>
        <w:t xml:space="preserve">AM-3.6 - </w:t>
      </w:r>
      <w:r>
        <w:tab/>
      </w:r>
      <w:r>
        <w:rPr>
          <w:b/>
        </w:rPr>
        <w:t>Manutenzione e adeguamento della rete arginale di difesa interna</w:t>
      </w:r>
      <w:r>
        <w:t>. Programmare interventi di manutenzione ed eventuale adeguamento plano-altimetrico degli argini di difesa. Nel caso degli argini interni afferenti al sistema dei canali adduttori alle Valli di Comacchio e dell’argine Acciaioli nel ferrarese, per le necessità di adeguamento plano-altimetrico si dovrà prendere in considerazione l’ampliamento dell’area demaniale sul lato esterno. Nel caso degli altri argini interni non afferenti al sistema dei canali, per le necessità di adeguamento plano-altimetrico si dovrà prendere in considerazione l’ampliamento dell’area demaniale su entrambi i lati. Programmare interventi di dragaggio dei canali (tratto interno e foci) per garantirne l’officiosità idraulica e diminuire le sollecitazioni sul corpo arginale dovute alle escursioni del livello idrico e di marea. Programmare l’implementazione della rete arginale interna per difendere dall’allagamento i centri abitati (es. Lido di Spina) laddove nel caso di eventi combinati, acqua alta, mareggiata, pioggia e chiusura delle chiaviche, si potrebbe avere un innalzamento dello specchio acqueo delle valli retrostanti con esondazione dalle sponde non arginate ed interessamento degli abitati.</w:t>
      </w:r>
    </w:p>
    <w:p w14:paraId="000000BF" w14:textId="77777777" w:rsidR="00B212BB" w:rsidRDefault="00A5255B">
      <w:pPr>
        <w:ind w:left="1134" w:hanging="992"/>
        <w:jc w:val="both"/>
      </w:pPr>
      <w:r>
        <w:t>AM-3.7 -</w:t>
      </w:r>
      <w:r>
        <w:tab/>
      </w:r>
      <w:r>
        <w:rPr>
          <w:b/>
        </w:rPr>
        <w:t>Monitoraggio degli interventi sulle difese radenti e argini di difesa interni.</w:t>
      </w:r>
      <w:r>
        <w:t xml:space="preserve"> Prevedere nell’ambito di tutti gli interventi realizzati specifiche attività di monitoraggio morfologico e ambientale al fine di poter valutare gli effetti degli stessi sull’area interessata e consentire di </w:t>
      </w:r>
      <w:r>
        <w:lastRenderedPageBreak/>
        <w:t>valutare/studiare eventuali modifiche da apportare agli stessi o in progetti d’intervento analoghi e successivi.</w:t>
      </w:r>
    </w:p>
    <w:p w14:paraId="000000C0" w14:textId="77777777" w:rsidR="00B212BB" w:rsidRDefault="00A5255B">
      <w:pPr>
        <w:jc w:val="both"/>
        <w:rPr>
          <w:b/>
        </w:rPr>
      </w:pPr>
      <w:r>
        <w:rPr>
          <w:b/>
          <w:sz w:val="24"/>
          <w:szCs w:val="24"/>
        </w:rPr>
        <w:t xml:space="preserve">C.1.15 – Indirizzi per l’adeguamento altimetrico, rialzo di fronti e banchine portuali e dei porti canale </w:t>
      </w:r>
      <w:r>
        <w:t xml:space="preserve">(Rif. </w:t>
      </w:r>
      <w:r>
        <w:rPr>
          <w:highlight w:val="lightGray"/>
        </w:rPr>
        <w:t>Azioni AM-4</w:t>
      </w:r>
      <w:r>
        <w:t>)</w:t>
      </w:r>
      <w:r>
        <w:rPr>
          <w:b/>
        </w:rPr>
        <w:t xml:space="preserve"> </w:t>
      </w:r>
    </w:p>
    <w:p w14:paraId="000000C1" w14:textId="77777777" w:rsidR="00B212BB" w:rsidRDefault="00A5255B">
      <w:pPr>
        <w:spacing w:after="120"/>
        <w:jc w:val="both"/>
        <w:rPr>
          <w:b/>
        </w:rPr>
      </w:pPr>
      <w:r>
        <w:rPr>
          <w:u w:val="single"/>
        </w:rPr>
        <w:t>Soggetti:</w:t>
      </w:r>
      <w:r>
        <w:t xml:space="preserve"> Regione, Comuni, ARSTPC, Enti e soggetti gestori dei porti</w:t>
      </w:r>
    </w:p>
    <w:p w14:paraId="000000C2" w14:textId="77777777" w:rsidR="00B212BB" w:rsidRDefault="00A5255B">
      <w:pPr>
        <w:spacing w:after="120"/>
        <w:jc w:val="both"/>
      </w:pPr>
      <w:r>
        <w:t xml:space="preserve">Sempre più di frequente si assiste a fenomeni combinati di mareggiata, acqua alta e piena fluviale, che possono determinare la tracimazione delle acque lungo le banchine portuali e importanti allagamenti nelle aree urbane prospicienti. Questo è un rischio a cui sono esposti già oggi i porti regionali, e ancor più in futuro, in particolare quelli impostati sui tratti terminali di corsi d’acqua. È necessario, da parte delle amministrazioni e soggetti gestori, valutare le attuali quote delle banchine e prevedere/programmare i necessari interventi di adeguamento in relazione agli eventi prevedibili (con riferimento alle mappe di pericolosità e rischio del PGRA) e in considerazione delle quote delle eventuali linee di difesa longitudinali alla costa ove presenti o previste (es. giardini a mare, parco del mare, ecc.). </w:t>
      </w:r>
    </w:p>
    <w:p w14:paraId="000000C3" w14:textId="77777777" w:rsidR="00B212BB" w:rsidRDefault="00A5255B">
      <w:pPr>
        <w:spacing w:after="120"/>
        <w:jc w:val="both"/>
      </w:pPr>
      <w:r>
        <w:t>A tale scopo si individuano le seguenti linee di indirizzo:</w:t>
      </w:r>
    </w:p>
    <w:p w14:paraId="000000C4" w14:textId="77777777" w:rsidR="00B212BB" w:rsidRDefault="00A5255B">
      <w:pPr>
        <w:pBdr>
          <w:top w:val="nil"/>
          <w:left w:val="nil"/>
          <w:bottom w:val="nil"/>
          <w:right w:val="nil"/>
          <w:between w:val="nil"/>
        </w:pBdr>
        <w:spacing w:after="120"/>
        <w:ind w:left="1134" w:hanging="992"/>
        <w:jc w:val="both"/>
        <w:rPr>
          <w:color w:val="000000"/>
        </w:rPr>
      </w:pPr>
      <w:r>
        <w:rPr>
          <w:color w:val="000000"/>
        </w:rPr>
        <w:t>AM-4.1 -</w:t>
      </w:r>
      <w:r>
        <w:rPr>
          <w:color w:val="000000"/>
        </w:rPr>
        <w:tab/>
      </w:r>
      <w:r>
        <w:rPr>
          <w:b/>
          <w:color w:val="000000"/>
        </w:rPr>
        <w:t>Ricognizione sulle quote di fronti mare e banchine portuali</w:t>
      </w:r>
      <w:r>
        <w:rPr>
          <w:color w:val="000000"/>
        </w:rPr>
        <w:t>. Le amministrazioni e i soggetti gestori delle aree portuali sono tenuti ad effettuare una verifica delle quote dei fronti mare, delle banchine interne e dei canali portuali con riferimento ai livelli di elevazione totale della superficie del mare indicata dal PGRA in ambito costiero per eventi e relativi tempi di ritorno: +1,5 m per eventi frequenti (</w:t>
      </w:r>
      <w:proofErr w:type="spellStart"/>
      <w:r>
        <w:rPr>
          <w:color w:val="000000"/>
        </w:rPr>
        <w:t>Tr</w:t>
      </w:r>
      <w:proofErr w:type="spellEnd"/>
      <w:r>
        <w:rPr>
          <w:color w:val="000000"/>
        </w:rPr>
        <w:t xml:space="preserve"> 10 anni), + 1,8 m per eventi poco frequenti (</w:t>
      </w:r>
      <w:proofErr w:type="spellStart"/>
      <w:r>
        <w:rPr>
          <w:color w:val="000000"/>
        </w:rPr>
        <w:t>Tr</w:t>
      </w:r>
      <w:proofErr w:type="spellEnd"/>
      <w:r>
        <w:rPr>
          <w:color w:val="000000"/>
        </w:rPr>
        <w:t xml:space="preserve"> 100 anni, + 2,5 m per eventi rari (</w:t>
      </w:r>
      <w:proofErr w:type="spellStart"/>
      <w:r>
        <w:rPr>
          <w:color w:val="000000"/>
        </w:rPr>
        <w:t>Tr</w:t>
      </w:r>
      <w:proofErr w:type="spellEnd"/>
      <w:r>
        <w:rPr>
          <w:color w:val="000000"/>
        </w:rPr>
        <w:t xml:space="preserve"> superiore a 100 anni). Sono da prevedere, inoltre, attività di ricognizione e monitoraggio sulle opere portuali durante e/o successivamente ad eventi di mareggiata, con il supporto di strumentazione tecnica quale droni, webcam, GPS per rilievi speditivi, al fine di valutare in maniera più puntuale le criticità presenti e in particolare quelle manifestatesi in occasione delle mareggiate.</w:t>
      </w:r>
    </w:p>
    <w:p w14:paraId="000000C5" w14:textId="77777777" w:rsidR="00B212BB" w:rsidRDefault="00A5255B">
      <w:pPr>
        <w:pBdr>
          <w:top w:val="nil"/>
          <w:left w:val="nil"/>
          <w:bottom w:val="nil"/>
          <w:right w:val="nil"/>
          <w:between w:val="nil"/>
        </w:pBdr>
        <w:spacing w:after="120"/>
        <w:ind w:left="1134" w:hanging="992"/>
        <w:jc w:val="both"/>
        <w:rPr>
          <w:color w:val="000000"/>
        </w:rPr>
      </w:pPr>
      <w:r>
        <w:rPr>
          <w:color w:val="000000"/>
        </w:rPr>
        <w:t>AM-4.2 -</w:t>
      </w:r>
      <w:r>
        <w:rPr>
          <w:color w:val="000000"/>
        </w:rPr>
        <w:tab/>
      </w:r>
      <w:r>
        <w:rPr>
          <w:b/>
          <w:color w:val="000000"/>
        </w:rPr>
        <w:t>Adeguamento altimetrico di fronti e banchine portuali</w:t>
      </w:r>
      <w:r>
        <w:rPr>
          <w:color w:val="000000"/>
        </w:rPr>
        <w:t>. Sulla base dei risultati della ricognizione di cui al precedente punto AM-4.1, programmare i necessari interventi di adeguamento in funzione di una scala di priorità a partire dalle situazioni che risultano più esposte già agli eventi più frequenti.</w:t>
      </w:r>
    </w:p>
    <w:p w14:paraId="000000C6" w14:textId="77777777" w:rsidR="00B212BB" w:rsidRDefault="00A5255B">
      <w:pPr>
        <w:pBdr>
          <w:top w:val="nil"/>
          <w:left w:val="nil"/>
          <w:bottom w:val="nil"/>
          <w:right w:val="nil"/>
          <w:between w:val="nil"/>
        </w:pBdr>
        <w:spacing w:after="0"/>
        <w:ind w:left="1134" w:hanging="992"/>
        <w:jc w:val="both"/>
        <w:rPr>
          <w:color w:val="000000"/>
        </w:rPr>
      </w:pPr>
      <w:r>
        <w:rPr>
          <w:color w:val="000000"/>
        </w:rPr>
        <w:t>AM-4.3 -</w:t>
      </w:r>
      <w:r>
        <w:rPr>
          <w:color w:val="000000"/>
        </w:rPr>
        <w:tab/>
      </w:r>
      <w:r>
        <w:rPr>
          <w:b/>
          <w:color w:val="000000"/>
        </w:rPr>
        <w:t>Raccordo con opere di difesa e tessuto urbano</w:t>
      </w:r>
      <w:r>
        <w:rPr>
          <w:color w:val="000000"/>
        </w:rPr>
        <w:t>. La progettazione degli interventi di adeguamento delle banchine e fronti mare dovrà tenere conto del raccordo delle quote con l’assetto e con le strutture dell’area portuale, il tessuto urbano limitrofo e con le quote degli elementi di difesa longitudinali alla costa ove presenti.</w:t>
      </w:r>
    </w:p>
    <w:p w14:paraId="000000C7" w14:textId="77777777" w:rsidR="00B212BB" w:rsidRDefault="00B212BB">
      <w:pPr>
        <w:pBdr>
          <w:top w:val="nil"/>
          <w:left w:val="nil"/>
          <w:bottom w:val="nil"/>
          <w:right w:val="nil"/>
          <w:between w:val="nil"/>
        </w:pBdr>
        <w:ind w:left="1134" w:hanging="992"/>
        <w:jc w:val="both"/>
        <w:rPr>
          <w:color w:val="000000"/>
        </w:rPr>
      </w:pPr>
    </w:p>
    <w:p w14:paraId="000000C8" w14:textId="77777777" w:rsidR="00B212BB" w:rsidRDefault="00A5255B">
      <w:pPr>
        <w:rPr>
          <w:b/>
          <w:sz w:val="28"/>
          <w:szCs w:val="28"/>
        </w:rPr>
      </w:pPr>
      <w:r>
        <w:rPr>
          <w:b/>
          <w:sz w:val="28"/>
          <w:szCs w:val="28"/>
        </w:rPr>
        <w:t>C.2 INDIRIZZI PER AZIONI A CARATTERE TRASVERSALE</w:t>
      </w:r>
    </w:p>
    <w:p w14:paraId="000000C9" w14:textId="77777777" w:rsidR="00B212BB" w:rsidRDefault="00A5255B">
      <w:pPr>
        <w:jc w:val="both"/>
      </w:pPr>
      <w:r>
        <w:rPr>
          <w:b/>
          <w:sz w:val="24"/>
          <w:szCs w:val="24"/>
        </w:rPr>
        <w:t>C.2.1 – Aggiornamento e sviluppo del quadro conoscitivo sul sistema costiero regionale</w:t>
      </w:r>
      <w:r>
        <w:rPr>
          <w:b/>
        </w:rPr>
        <w:t xml:space="preserve"> </w:t>
      </w:r>
      <w:r>
        <w:t xml:space="preserve">(AT-1) </w:t>
      </w:r>
    </w:p>
    <w:p w14:paraId="000000CA" w14:textId="77777777" w:rsidR="00B212BB" w:rsidRDefault="00A5255B">
      <w:pPr>
        <w:spacing w:after="120"/>
        <w:jc w:val="both"/>
      </w:pPr>
      <w:r>
        <w:t>Soggetti: Regione, ARSTPC, ARPAE, Comuni</w:t>
      </w:r>
    </w:p>
    <w:p w14:paraId="000000CB" w14:textId="77777777" w:rsidR="00B212BB" w:rsidRDefault="00A5255B">
      <w:pPr>
        <w:spacing w:after="120"/>
        <w:jc w:val="both"/>
      </w:pPr>
      <w:r>
        <w:t xml:space="preserve">Un sistema di conoscenze sempre aggiornato è la base fondamentale per una pianificazione e programmazione consapevole delle azioni di difesa, gestione e adattamento della zona costiera. Tale sistema deve comprendere informazioni sulle dinamiche costiere e fluviali, sulle fonti di sedimenti per il ripascimento costiero, sulla gestione dell’erosione e dei sedimenti, sui fenomeni e rischi costieri in chiave attuale e previsionale, sulla pianificazione e realizzazioni degli interventi di difesa ma anche di trasformazione del territorio. Deve essere, inoltre, un sistema accessibile, consultabile e utilizzabile, in particolare dagli Enti competenti ai diversi livelli per la pianificazione e il governo del territorio. L’attuale sistema informativo (SIC) va quindi aggiornato costantemente nelle sue componenti già presenti e sviluppato ulteriormente in quelle componenti previste, utili a rendere un quadro delle conoscenze sempre più completo ai fini della gestione della costa e della progettazione di interventi. L’aggiornamento e sviluppo del sistema delle conoscenze è </w:t>
      </w:r>
      <w:r>
        <w:lastRenderedPageBreak/>
        <w:t xml:space="preserve">un’azione progressiva che deve essere necessariamente perseguita con la collaborazione dei diversi Enti e agenzie competenti sul territorio.     </w:t>
      </w:r>
    </w:p>
    <w:p w14:paraId="000000CC" w14:textId="77777777" w:rsidR="00B212BB" w:rsidRDefault="00A5255B">
      <w:pPr>
        <w:jc w:val="both"/>
      </w:pPr>
      <w:r>
        <w:t>A tale scopo si individuano le seguenti linee di indirizzo:</w:t>
      </w:r>
    </w:p>
    <w:p w14:paraId="000000CD" w14:textId="77777777" w:rsidR="00B212BB" w:rsidRDefault="00A5255B">
      <w:pPr>
        <w:pBdr>
          <w:top w:val="nil"/>
          <w:left w:val="nil"/>
          <w:bottom w:val="nil"/>
          <w:right w:val="nil"/>
          <w:between w:val="nil"/>
        </w:pBdr>
        <w:spacing w:after="120"/>
        <w:ind w:left="1134" w:hanging="992"/>
        <w:jc w:val="both"/>
        <w:rPr>
          <w:color w:val="000000"/>
        </w:rPr>
      </w:pPr>
      <w:r>
        <w:rPr>
          <w:color w:val="000000"/>
        </w:rPr>
        <w:t>AT-1.1 -</w:t>
      </w:r>
      <w:r>
        <w:rPr>
          <w:color w:val="000000"/>
        </w:rPr>
        <w:tab/>
      </w:r>
      <w:r>
        <w:rPr>
          <w:b/>
          <w:color w:val="000000"/>
        </w:rPr>
        <w:t>Acquisizione di nuovi dati</w:t>
      </w:r>
      <w:r>
        <w:rPr>
          <w:color w:val="000000"/>
        </w:rPr>
        <w:t>. Oltre ai rilievi periodici topo-batimetrici dei litorali da programmare con una cadenza circa ogni 5-6 anni, è necessario poter acquisire con regolarità altre tipologie di informazioni morfologiche, geologiche e in particolare i dati Lidar che permettono di monitorare l’evoluzione delle morfologie costiere, i relativi indicatori, nonché l’aggiornamento della banca dati sulle opere di protezione e quella sui punti critici. L’evoluzione tecnologica dei sistemi Lidar negli ultimi anni ha portato ad un notevole abbattimento dei costi e quindi è possibile programmare rilievi Lidar su tutta la fascia costiera regionale a costi contenuti.</w:t>
      </w:r>
    </w:p>
    <w:p w14:paraId="000000CE" w14:textId="77777777" w:rsidR="00B212BB" w:rsidRDefault="00A5255B">
      <w:pPr>
        <w:pBdr>
          <w:top w:val="nil"/>
          <w:left w:val="nil"/>
          <w:bottom w:val="nil"/>
          <w:right w:val="nil"/>
          <w:between w:val="nil"/>
        </w:pBdr>
        <w:spacing w:after="120"/>
        <w:ind w:left="1134" w:hanging="992"/>
        <w:jc w:val="both"/>
        <w:rPr>
          <w:color w:val="000000"/>
        </w:rPr>
      </w:pPr>
      <w:r>
        <w:rPr>
          <w:color w:val="000000"/>
        </w:rPr>
        <w:t xml:space="preserve">AT-1.2 - </w:t>
      </w:r>
      <w:r>
        <w:rPr>
          <w:color w:val="000000"/>
        </w:rPr>
        <w:tab/>
      </w:r>
      <w:r>
        <w:rPr>
          <w:b/>
          <w:color w:val="000000"/>
        </w:rPr>
        <w:t>Sviluppo di nuove banche dati tematiche</w:t>
      </w:r>
      <w:r>
        <w:rPr>
          <w:color w:val="000000"/>
        </w:rPr>
        <w:t>. Per l’integrazione del quadro delle conoscenze sono state delineate negli indirizzi di cui al capitolo C.1 già alcune banche dati tematiche da sviluppare e collegare al SIC: accumuli costieri di sedimenti (AS-2.1), trasporto solido fluviale (AS-3.1), sedimenti nei bacini artificiali (AS-3.3), sabbie da scavi edili (AS-6.4), dragaggi in ambito portuale (AM-1.2), stato conservazione opere di difesa (AM-2.3 e AM-3.3). Per lo sviluppo di queste banche dati e altre che si rivelassero utili agli scopi della GIDAC, oltre alla gestione di quelle già esistenti, è necessario implementare ulteriormente l’organizzare del sistema informativo e soprattutto prevedere risorse e personale dedicato.</w:t>
      </w:r>
    </w:p>
    <w:p w14:paraId="000000CF" w14:textId="77777777" w:rsidR="00B212BB" w:rsidRDefault="00A5255B">
      <w:pPr>
        <w:pBdr>
          <w:top w:val="nil"/>
          <w:left w:val="nil"/>
          <w:bottom w:val="nil"/>
          <w:right w:val="nil"/>
          <w:between w:val="nil"/>
        </w:pBdr>
        <w:spacing w:after="120"/>
        <w:ind w:left="1134" w:hanging="992"/>
        <w:jc w:val="both"/>
        <w:rPr>
          <w:color w:val="000000"/>
        </w:rPr>
      </w:pPr>
      <w:r>
        <w:rPr>
          <w:color w:val="000000"/>
        </w:rPr>
        <w:t xml:space="preserve">AT-1.3 - </w:t>
      </w:r>
      <w:r>
        <w:rPr>
          <w:color w:val="000000"/>
        </w:rPr>
        <w:tab/>
      </w:r>
      <w:r>
        <w:rPr>
          <w:b/>
          <w:color w:val="000000"/>
        </w:rPr>
        <w:t>Aggiornamento e manutenzione delle banche dati esistenti</w:t>
      </w:r>
      <w:r>
        <w:rPr>
          <w:color w:val="000000"/>
        </w:rPr>
        <w:t>. Vanno aggiornate e potenziate le banche dati tematiche esistenti nel SIC in base alle esigenze della GIDAC. Alcune banche dati vanno completate con il recupero di dati pregressi (es. ripascimenti con sabbie sottomarine 2002 e 2007, dragaggi portuali e volumi portati nelle “aree di immersione deliberata in mare”), altre ulteriormente implementate con dati utili per la gestione e movimentazione dei sedimenti (es. sezione del SICELL sulle celle e volumi idonei al prelievo ai fini del ripascimento delle celle in erosione con riferimento ai TLS tratti litoranei significativi ai fini gestionali di cui all’indirizzo AS-2.3). Altri strati informativi impostati da implementare ulteriormente riguardano inoltre gli interventi di trasformazione e adattamento in fascia costiera (es. interventi strategici, riqualificazione dei fronti mare, ricostruzione o protezione delle dune costiere, ecc.). In generale, oltre che per completamenti e implementazioni, vanno garantite adeguate risorse finanziarie per mantenere in efficienza tutte le banche dati esistenti e quelle che si svilupperanno.</w:t>
      </w:r>
    </w:p>
    <w:p w14:paraId="000000D0" w14:textId="77777777" w:rsidR="00B212BB" w:rsidRDefault="00A5255B">
      <w:pPr>
        <w:pBdr>
          <w:top w:val="nil"/>
          <w:left w:val="nil"/>
          <w:bottom w:val="nil"/>
          <w:right w:val="nil"/>
          <w:between w:val="nil"/>
        </w:pBdr>
        <w:spacing w:after="120"/>
        <w:ind w:left="1134" w:hanging="992"/>
        <w:jc w:val="both"/>
        <w:rPr>
          <w:color w:val="000000"/>
        </w:rPr>
      </w:pPr>
      <w:r>
        <w:rPr>
          <w:color w:val="000000"/>
        </w:rPr>
        <w:t>AT-1.4 -</w:t>
      </w:r>
      <w:r>
        <w:rPr>
          <w:color w:val="000000"/>
        </w:rPr>
        <w:tab/>
      </w:r>
      <w:r>
        <w:rPr>
          <w:b/>
          <w:color w:val="000000"/>
        </w:rPr>
        <w:t>Collaborazione e flusso di informazioni fra Enti, un protocollo operativo.</w:t>
      </w:r>
      <w:r>
        <w:rPr>
          <w:color w:val="000000"/>
        </w:rPr>
        <w:t xml:space="preserve"> Il Sistema Informativo del Mare e della Costa (SIC) è lo strumento di riferimento per il quadro conoscitivo sull’ambito costiero e alimenta parte del portale dei dati ambientali di Minerva. Le informazioni che vengono acquisite sulle tematiche costiere anche da parte di altri Enti e Agenzie (ARPAE, ARSTPC, Comuni e altri Enti territoriali) devono confluire nel SIC per essere archiviate, organizzate e rese disponibili in varie forme e in modo integrato con le altre informazioni disponibili, per gli stessi Enti e Agenzie, ma anche per i cittadini, ricercatori e professionisti interessati. Sono attività di scambio in parte già in essere ma per le quali è necessaria una più efficace organizzazione a livello territoriale che può essere raggiunta attraverso la definizione di una procedura standard, protocollo, per meglio favorire il flusso delle informazioni.</w:t>
      </w:r>
    </w:p>
    <w:p w14:paraId="000000D1" w14:textId="77777777" w:rsidR="00B212BB" w:rsidRDefault="00A5255B">
      <w:pPr>
        <w:pBdr>
          <w:top w:val="nil"/>
          <w:left w:val="nil"/>
          <w:bottom w:val="nil"/>
          <w:right w:val="nil"/>
          <w:between w:val="nil"/>
        </w:pBdr>
        <w:spacing w:after="120"/>
        <w:ind w:left="1134" w:hanging="992"/>
        <w:jc w:val="both"/>
        <w:rPr>
          <w:color w:val="000000"/>
        </w:rPr>
      </w:pPr>
      <w:r>
        <w:rPr>
          <w:color w:val="000000"/>
        </w:rPr>
        <w:t>AT-1.5 -</w:t>
      </w:r>
      <w:r>
        <w:rPr>
          <w:color w:val="000000"/>
        </w:rPr>
        <w:tab/>
      </w:r>
      <w:r>
        <w:rPr>
          <w:b/>
          <w:color w:val="000000"/>
        </w:rPr>
        <w:t>Accessibilità e condivisione delle informazioni</w:t>
      </w:r>
      <w:r>
        <w:rPr>
          <w:color w:val="000000"/>
        </w:rPr>
        <w:t>. Il sistema informativo, già disponibile online, va potenziato nella sua consultabilità e utilizzo attraverso una revisione con interventi sulla sua pagina e struttura web per rendere più facilmente accessibili le informazioni da parte dei cittadini e soprattutto dei Comuni per quanto riguarda sia i dati sia le elaborazioni e restituzioni del quadro conoscitivo.</w:t>
      </w:r>
    </w:p>
    <w:p w14:paraId="000000D2" w14:textId="77777777" w:rsidR="00B212BB" w:rsidRDefault="00A5255B">
      <w:pPr>
        <w:pBdr>
          <w:top w:val="nil"/>
          <w:left w:val="nil"/>
          <w:bottom w:val="nil"/>
          <w:right w:val="nil"/>
          <w:between w:val="nil"/>
        </w:pBdr>
        <w:spacing w:after="120"/>
        <w:ind w:left="1134" w:hanging="992"/>
        <w:jc w:val="both"/>
        <w:rPr>
          <w:color w:val="000000"/>
        </w:rPr>
      </w:pPr>
      <w:r>
        <w:rPr>
          <w:color w:val="000000"/>
        </w:rPr>
        <w:t>AT-1.6 -</w:t>
      </w:r>
      <w:r>
        <w:rPr>
          <w:color w:val="000000"/>
        </w:rPr>
        <w:tab/>
      </w:r>
      <w:r>
        <w:rPr>
          <w:b/>
          <w:color w:val="000000"/>
        </w:rPr>
        <w:t>Acquisizione dei dati di monitoraggio degli interventi realizzati</w:t>
      </w:r>
      <w:r>
        <w:rPr>
          <w:color w:val="000000"/>
        </w:rPr>
        <w:t xml:space="preserve">. Acquisire nel sistema informativo regionale del mare e della costa (SIC) i dati derivanti dalle attività di monitoraggio di tutti gli interventi realizzati in ambito costiero al fine di integrare il sistema delle conoscenze </w:t>
      </w:r>
      <w:r>
        <w:rPr>
          <w:color w:val="000000"/>
        </w:rPr>
        <w:lastRenderedPageBreak/>
        <w:t>sulle dinamiche costiere e del supporto alla progettazione e alla valutazione dei progetti di intervento.</w:t>
      </w:r>
    </w:p>
    <w:p w14:paraId="000000D3" w14:textId="77777777" w:rsidR="00B212BB" w:rsidRDefault="00B212BB">
      <w:pPr>
        <w:pBdr>
          <w:top w:val="nil"/>
          <w:left w:val="nil"/>
          <w:bottom w:val="nil"/>
          <w:right w:val="nil"/>
          <w:between w:val="nil"/>
        </w:pBdr>
        <w:spacing w:after="0"/>
        <w:jc w:val="both"/>
        <w:rPr>
          <w:color w:val="000000"/>
        </w:rPr>
      </w:pPr>
    </w:p>
    <w:p w14:paraId="000000D4" w14:textId="77777777" w:rsidR="00B212BB" w:rsidRDefault="00B212BB">
      <w:pPr>
        <w:pBdr>
          <w:top w:val="nil"/>
          <w:left w:val="nil"/>
          <w:bottom w:val="nil"/>
          <w:right w:val="nil"/>
          <w:between w:val="nil"/>
        </w:pBdr>
        <w:spacing w:after="0"/>
        <w:jc w:val="both"/>
        <w:rPr>
          <w:color w:val="000000"/>
        </w:rPr>
      </w:pPr>
    </w:p>
    <w:p w14:paraId="000000D5" w14:textId="77777777" w:rsidR="00B212BB" w:rsidRDefault="00A5255B">
      <w:pPr>
        <w:pBdr>
          <w:top w:val="nil"/>
          <w:left w:val="nil"/>
          <w:bottom w:val="nil"/>
          <w:right w:val="nil"/>
          <w:between w:val="nil"/>
        </w:pBdr>
        <w:spacing w:after="0"/>
        <w:ind w:left="709" w:hanging="709"/>
        <w:jc w:val="both"/>
        <w:rPr>
          <w:color w:val="000000"/>
        </w:rPr>
      </w:pPr>
      <w:r>
        <w:rPr>
          <w:b/>
          <w:color w:val="000000"/>
          <w:sz w:val="24"/>
          <w:szCs w:val="24"/>
        </w:rPr>
        <w:t>C.2.2 – Analisi e valutazione costi-benefici degli interventi di difesa e di trasformazione del territorio costiero.</w:t>
      </w:r>
      <w:r>
        <w:rPr>
          <w:color w:val="000000"/>
        </w:rPr>
        <w:t xml:space="preserve"> (AT-2)</w:t>
      </w:r>
    </w:p>
    <w:p w14:paraId="000000D6" w14:textId="77777777" w:rsidR="00B212BB" w:rsidRDefault="00B212BB">
      <w:pPr>
        <w:pBdr>
          <w:top w:val="nil"/>
          <w:left w:val="nil"/>
          <w:bottom w:val="nil"/>
          <w:right w:val="nil"/>
          <w:between w:val="nil"/>
        </w:pBdr>
        <w:spacing w:after="0"/>
        <w:ind w:left="1134" w:hanging="992"/>
        <w:jc w:val="both"/>
        <w:rPr>
          <w:color w:val="000000"/>
        </w:rPr>
      </w:pPr>
    </w:p>
    <w:p w14:paraId="000000D7" w14:textId="77777777" w:rsidR="00B212BB" w:rsidRDefault="00A5255B">
      <w:pPr>
        <w:pBdr>
          <w:top w:val="nil"/>
          <w:left w:val="nil"/>
          <w:bottom w:val="nil"/>
          <w:right w:val="nil"/>
          <w:between w:val="nil"/>
        </w:pBdr>
        <w:spacing w:after="120"/>
        <w:ind w:left="1134" w:hanging="1134"/>
        <w:jc w:val="both"/>
        <w:rPr>
          <w:color w:val="000000"/>
        </w:rPr>
      </w:pPr>
      <w:r>
        <w:rPr>
          <w:color w:val="000000"/>
        </w:rPr>
        <w:t>Soggetti: Regione, ARSTPC, Comuni, Enti e soggetti privati proponenti</w:t>
      </w:r>
    </w:p>
    <w:p w14:paraId="000000D8" w14:textId="77777777" w:rsidR="00B212BB" w:rsidRDefault="00A5255B">
      <w:pPr>
        <w:pBdr>
          <w:top w:val="nil"/>
          <w:left w:val="nil"/>
          <w:bottom w:val="nil"/>
          <w:right w:val="nil"/>
          <w:between w:val="nil"/>
        </w:pBdr>
        <w:spacing w:after="0"/>
        <w:jc w:val="both"/>
        <w:rPr>
          <w:color w:val="000000"/>
        </w:rPr>
      </w:pPr>
      <w:r>
        <w:rPr>
          <w:color w:val="000000"/>
        </w:rPr>
        <w:t xml:space="preserve">Al fine di perseguire la sostenibilità degli investimenti in ambito costiero è necessario che nella progettazione degli interventi e nei processi decisionali relativi alla pianificazione e alla valutazione ambientale vengano integrati gli elementi di costo e di rischio connessi alle dinamiche costiere attuali e prevedibili per scenari climatici futuri, in relazione alla durata di vita ed alla eventuale manutenzione necessaria dell’intervento.  e quindi anche della sua manutenzione. È necessario quindi prevedere, nella fase di progettazione di interventi di difesa e di trasformazione del territorio costiero, un’analisi costi-benefici che non si basi solo sugli obiettivi di breve periodo ma che traguardi il medio-lungo periodo in relazione agli effetti dei cambiamenti climatici attesi, commisurata ovviamente all’entità e durata di vita prevista dell’opera da realizzare. </w:t>
      </w:r>
    </w:p>
    <w:p w14:paraId="000000D9" w14:textId="77777777" w:rsidR="00B212BB" w:rsidRDefault="00A5255B">
      <w:pPr>
        <w:pBdr>
          <w:top w:val="nil"/>
          <w:left w:val="nil"/>
          <w:bottom w:val="nil"/>
          <w:right w:val="nil"/>
          <w:between w:val="nil"/>
        </w:pBdr>
        <w:spacing w:after="0"/>
        <w:jc w:val="both"/>
        <w:rPr>
          <w:color w:val="000000"/>
        </w:rPr>
      </w:pPr>
      <w:r>
        <w:rPr>
          <w:color w:val="000000"/>
        </w:rPr>
        <w:t xml:space="preserve">Nel capitolo B.3.2 sono fornite indicazioni di riferimento utili a condurre una corretta analisi costi-benefici sul fronte della progettazione degli interventi o delle scelte di pianificazione in ambito costiero e, al contempo, utili alla valutazione dei requisiti di sostenibilità degli interventi o delle scelte di pianificazione sul fronte dei procedimenti autorizzativi o di approvazione da parte delle autorità competenti. Qui di seguito si forniscono gli indirizzi: </w:t>
      </w:r>
    </w:p>
    <w:p w14:paraId="000000DA" w14:textId="77777777" w:rsidR="00B212BB" w:rsidRDefault="00B212BB">
      <w:pPr>
        <w:pBdr>
          <w:top w:val="nil"/>
          <w:left w:val="nil"/>
          <w:bottom w:val="nil"/>
          <w:right w:val="nil"/>
          <w:between w:val="nil"/>
        </w:pBdr>
        <w:spacing w:after="0"/>
        <w:jc w:val="both"/>
        <w:rPr>
          <w:color w:val="000000"/>
        </w:rPr>
      </w:pPr>
    </w:p>
    <w:p w14:paraId="000000DB" w14:textId="77777777" w:rsidR="00B212BB" w:rsidRDefault="00A5255B">
      <w:pPr>
        <w:pBdr>
          <w:top w:val="nil"/>
          <w:left w:val="nil"/>
          <w:bottom w:val="nil"/>
          <w:right w:val="nil"/>
          <w:between w:val="nil"/>
        </w:pBdr>
        <w:spacing w:after="0"/>
        <w:ind w:left="1134" w:hanging="992"/>
        <w:jc w:val="both"/>
        <w:rPr>
          <w:color w:val="000000"/>
        </w:rPr>
      </w:pPr>
      <w:r>
        <w:rPr>
          <w:color w:val="000000"/>
        </w:rPr>
        <w:t>AT-2.1 -</w:t>
      </w:r>
      <w:r>
        <w:rPr>
          <w:color w:val="000000"/>
        </w:rPr>
        <w:tab/>
      </w:r>
      <w:r>
        <w:rPr>
          <w:b/>
          <w:color w:val="000000"/>
        </w:rPr>
        <w:t xml:space="preserve">Analisi costi-benefici degli interventi di difesa costiera. </w:t>
      </w:r>
      <w:r>
        <w:rPr>
          <w:color w:val="000000"/>
        </w:rPr>
        <w:t xml:space="preserve">Relativamente ad opere/interventi di difesa vanno considerati i costi di progettazione, di realizzazione, di monitoraggio morfologico e ambientale post opera e i costi delle manutenzioni necessarie in relazione all’orizzonte temporale di riferimento. Per la valutazione dei benefici di un’opera/intervento, o di misure di gestione del litorale, va considerato il “valore” dell'area che viene protetta dall'erosione e dall’ingressione marina sotto i vari aspetti, economici, sociali e ambientali, in funzione della efficacia in rapporto agli obiettivi dati (indicazioni in proposito sono fornite al paragrafo B.3.2.2). Nel caso di </w:t>
      </w:r>
      <w:r>
        <w:rPr>
          <w:b/>
          <w:color w:val="000000"/>
        </w:rPr>
        <w:t xml:space="preserve">nuove opere a mare, </w:t>
      </w:r>
      <w:r>
        <w:rPr>
          <w:color w:val="000000"/>
        </w:rPr>
        <w:t xml:space="preserve">quali barriere parallele emerse o soffolte e pennelli, finalizzate principalmente alla difesa dall’erosione, in fase di progettazione vanno inoltre valutati gli effetti sulle aree costiere limitrofe, i costi derivanti da eventuali effetti negativi (erosione sottoflutto, impoverimento qualitativo delle acque e fondali interclusi, sovralzo del livello marino nello specchio acqueo intercluso durante le mareggiate, creazione e approfondimento di canali di deflusso in corrispondenza dei varchi fra le barriere, approfondimento al piede delle opere lato mare, ecc.), i costi delle relative misure di mitigazione o compensazione, i costi di manutenzione. </w:t>
      </w:r>
    </w:p>
    <w:p w14:paraId="000000DC" w14:textId="77777777" w:rsidR="00B212BB" w:rsidRDefault="00A5255B">
      <w:pPr>
        <w:pBdr>
          <w:top w:val="nil"/>
          <w:left w:val="nil"/>
          <w:bottom w:val="nil"/>
          <w:right w:val="nil"/>
          <w:between w:val="nil"/>
        </w:pBdr>
        <w:spacing w:after="0"/>
        <w:ind w:left="1134"/>
        <w:jc w:val="both"/>
        <w:rPr>
          <w:color w:val="000000"/>
        </w:rPr>
      </w:pPr>
      <w:r>
        <w:rPr>
          <w:color w:val="000000"/>
        </w:rPr>
        <w:t xml:space="preserve">Nel caso di </w:t>
      </w:r>
      <w:r>
        <w:rPr>
          <w:b/>
          <w:color w:val="000000"/>
        </w:rPr>
        <w:t>nuove difese radenti o argini di difesa interni,</w:t>
      </w:r>
      <w:r>
        <w:rPr>
          <w:color w:val="000000"/>
        </w:rPr>
        <w:t xml:space="preserve"> finalizzate principalmente alla difesa dall’ingressione marina, particolarmente importanti possono essere i costi correlati ad eventuali espropri delle aree di imposizione, delle misure di compensazione nelle aree naturali o urbanizzate interessate e, soprattutto, i costi di manutenzione a seguito di importanti mareggiate, scalzamento al piede e dell’adeguamento altimetrico in ragione dei tassi di subsidenza locali e dell’innalzamento del livello medio marino. </w:t>
      </w:r>
    </w:p>
    <w:p w14:paraId="000000DD" w14:textId="77777777" w:rsidR="00B212BB" w:rsidRDefault="00A5255B">
      <w:pPr>
        <w:pBdr>
          <w:top w:val="nil"/>
          <w:left w:val="nil"/>
          <w:bottom w:val="nil"/>
          <w:right w:val="nil"/>
          <w:between w:val="nil"/>
        </w:pBdr>
        <w:spacing w:after="120"/>
        <w:ind w:left="1134"/>
        <w:jc w:val="both"/>
        <w:rPr>
          <w:color w:val="000000"/>
        </w:rPr>
      </w:pPr>
      <w:r>
        <w:rPr>
          <w:color w:val="000000"/>
        </w:rPr>
        <w:t xml:space="preserve">Nel caso di </w:t>
      </w:r>
      <w:r>
        <w:rPr>
          <w:b/>
          <w:color w:val="000000"/>
        </w:rPr>
        <w:t>interventi di ripascimento,</w:t>
      </w:r>
      <w:r>
        <w:rPr>
          <w:color w:val="000000"/>
        </w:rPr>
        <w:t xml:space="preserve"> finalizzati alla difesa sia dall’erosione sia dall’ingressione marina, sia con l’apporto di sedimenti interni sia esterni al sistema litoraneo, una volta verificata la compatibilità dei sedimenti di apporto con quelli presenti nel tratto costiero di destinazione, si assume come riferimento un effetto sempre positivo per l’area interessata e di beneficio per i tratti costieri sottoflutto, in ragione della distribuzione del materiale con la dinamica costiera, a bilanciare le perdite di sedimenti e di quota per erosione e subsidenza. I costi di manutenzione di un ripascimento sono quelli relativi alla sua “ripetizione”, con volumi anche diversi, e sono intrinseci di una strategia di gestione dei litorali basata su un approccio “morbido”, in linea con i processi naturali, piuttosto che di un intervento a sé stante. I ripascimenti vanno “ripetuti” per </w:t>
      </w:r>
      <w:r>
        <w:rPr>
          <w:color w:val="000000"/>
        </w:rPr>
        <w:lastRenderedPageBreak/>
        <w:t>gestire i tratti critici, spesso anche protetti da opere a mare, e più in generale per alimentare e mantenere in equilibrio il sistema costiero, in particolare con sedimenti dai depositi off-shore o da altre fonti esterne, e garantire la difesa del territorio dall’ingressione marina.</w:t>
      </w:r>
    </w:p>
    <w:p w14:paraId="000000DE" w14:textId="77777777" w:rsidR="00B212BB" w:rsidRDefault="00B212BB">
      <w:pPr>
        <w:pBdr>
          <w:top w:val="nil"/>
          <w:left w:val="nil"/>
          <w:bottom w:val="nil"/>
          <w:right w:val="nil"/>
          <w:between w:val="nil"/>
        </w:pBdr>
        <w:spacing w:after="120"/>
        <w:ind w:left="1134" w:hanging="992"/>
        <w:jc w:val="both"/>
        <w:rPr>
          <w:color w:val="000000"/>
        </w:rPr>
      </w:pPr>
    </w:p>
    <w:p w14:paraId="000000DF" w14:textId="77777777" w:rsidR="00B212BB" w:rsidRDefault="00B212BB">
      <w:pPr>
        <w:pBdr>
          <w:top w:val="nil"/>
          <w:left w:val="nil"/>
          <w:bottom w:val="nil"/>
          <w:right w:val="nil"/>
          <w:between w:val="nil"/>
        </w:pBdr>
        <w:spacing w:after="0"/>
        <w:jc w:val="both"/>
        <w:rPr>
          <w:color w:val="000000"/>
        </w:rPr>
      </w:pPr>
    </w:p>
    <w:p w14:paraId="000000E0" w14:textId="77777777" w:rsidR="00B212BB" w:rsidRDefault="00A5255B">
      <w:pPr>
        <w:pBdr>
          <w:top w:val="nil"/>
          <w:left w:val="nil"/>
          <w:bottom w:val="nil"/>
          <w:right w:val="nil"/>
          <w:between w:val="nil"/>
        </w:pBdr>
        <w:spacing w:after="120"/>
        <w:ind w:left="1134" w:hanging="992"/>
        <w:jc w:val="both"/>
        <w:rPr>
          <w:color w:val="000000"/>
        </w:rPr>
      </w:pPr>
      <w:r>
        <w:rPr>
          <w:color w:val="000000"/>
        </w:rPr>
        <w:t>AT-2.2 -</w:t>
      </w:r>
      <w:r>
        <w:rPr>
          <w:color w:val="000000"/>
        </w:rPr>
        <w:tab/>
      </w:r>
      <w:r>
        <w:rPr>
          <w:b/>
          <w:color w:val="000000"/>
        </w:rPr>
        <w:t xml:space="preserve">Analisi costi-benefici degli interventi di trasformazione del territorio in ambito costiero. </w:t>
      </w:r>
      <w:r>
        <w:rPr>
          <w:color w:val="000000"/>
        </w:rPr>
        <w:t>Relativamente agli interventi di trasformazione urbanistica e infrastrutturale o ad interventi puntuali a valle delle previsioni urbanistiche e di settore, l’analisi costi-benefici dovrà comprendere valutazioni relative alla vulnerabilità e pericolosità dell’area di intervento nelle condizioni attuali e attese dal cambiamento climatico, con riferimento alla mappatura di pericolosità e rischio del PGRA, in relazione anche agli aspetti socioeconomici, ambientali e di sviluppo nel medio-lungo periodo (indicazioni in proposito sono fornite nel paragrafo B.3.2.1). L’analisi andrà ovviamente commisurata all’entità e durata di vita prevista delle opere da realizzare. Particolare attenzione andrà posta, sempre a livello di progettazione, sugli effetti che l’intervento potrà determinare nelle aree limitrofe, valutando alternative progettuali volte ad evitarli oppure eventuali misure di mitigazione e compensazione che si dovessero rilevare necessarie. I costi di tali misure, così come i costi di manutenzione delle opere realizzate e del monitoraggio dei loro effetti sul territorio e sulle dinamiche costiere, dovranno essere a carico del soggetto proponente e non dovranno gravare in alcun modo sulla comunità. Qualora risultassero effetti negativi importanti, sul sistema costiero e sulle condizioni di sicurezza nell’area di intervento o nelle aree limitrofe, che il soggetto proponente/attuatore non è in grado di ridurre né di garantirne la mitigazione, con alternative progettuali o facendosi carico di necessarie misure di mitigazione o compensazione, il progetto non potrà essere realizzato.</w:t>
      </w:r>
    </w:p>
    <w:p w14:paraId="000000E1" w14:textId="77777777" w:rsidR="00B212BB" w:rsidRDefault="00A5255B">
      <w:pPr>
        <w:pBdr>
          <w:top w:val="nil"/>
          <w:left w:val="nil"/>
          <w:bottom w:val="nil"/>
          <w:right w:val="nil"/>
          <w:between w:val="nil"/>
        </w:pBdr>
        <w:spacing w:before="120" w:after="0"/>
        <w:ind w:left="1134" w:hanging="992"/>
        <w:jc w:val="both"/>
        <w:rPr>
          <w:color w:val="000000"/>
        </w:rPr>
      </w:pPr>
      <w:r>
        <w:rPr>
          <w:color w:val="000000"/>
        </w:rPr>
        <w:t>AT-2.3 -</w:t>
      </w:r>
      <w:r>
        <w:rPr>
          <w:color w:val="000000"/>
        </w:rPr>
        <w:tab/>
      </w:r>
      <w:r>
        <w:rPr>
          <w:b/>
          <w:color w:val="000000"/>
        </w:rPr>
        <w:t>Valutazione dell’analisi costi-benefici dei progetti di intervento</w:t>
      </w:r>
      <w:r>
        <w:rPr>
          <w:color w:val="000000"/>
        </w:rPr>
        <w:t>. È compito delle autorità competenti al rilascio delle autorizzazioni o all’approvazione dei progetti, nell’ambito della procedura di valutazione d’impatto ambientale, verificare la congruità dell’analisi costi-benefici, in relazione all’entità e durata di vita prevista delle opere, richiedere nel caso approfondimenti o ampliamenti dell’analisi su determinati aspetti e dettare eventuali prescrizioni per la mitigazione di eventuali effetti indesiderati sul sistema costiero, sulla sicurezza del territorio e sull’ambiente. Per la verifica di congruità e valutazione dell’analisi costi-benefici dei progetti di intervento è utile riferimento quanto contenuto nel capitolo B.3.2.</w:t>
      </w:r>
    </w:p>
    <w:p w14:paraId="000000E2" w14:textId="77777777" w:rsidR="00B212BB" w:rsidRDefault="00B212BB">
      <w:pPr>
        <w:pBdr>
          <w:top w:val="nil"/>
          <w:left w:val="nil"/>
          <w:bottom w:val="nil"/>
          <w:right w:val="nil"/>
          <w:between w:val="nil"/>
        </w:pBdr>
        <w:jc w:val="both"/>
        <w:rPr>
          <w:color w:val="000000"/>
        </w:rPr>
      </w:pPr>
    </w:p>
    <w:sectPr w:rsidR="00B212BB">
      <w:headerReference w:type="default" r:id="rId8"/>
      <w:footerReference w:type="default" r:id="rId9"/>
      <w:pgSz w:w="11906" w:h="16838"/>
      <w:pgMar w:top="993" w:right="1134" w:bottom="709" w:left="1134" w:header="426" w:footer="1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04145" w14:textId="77777777" w:rsidR="00CA64F7" w:rsidRDefault="00CA64F7">
      <w:pPr>
        <w:spacing w:after="0" w:line="240" w:lineRule="auto"/>
      </w:pPr>
      <w:r>
        <w:separator/>
      </w:r>
    </w:p>
  </w:endnote>
  <w:endnote w:type="continuationSeparator" w:id="0">
    <w:p w14:paraId="7CAE2193" w14:textId="77777777" w:rsidR="00CA64F7" w:rsidRDefault="00CA6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A" w14:textId="648859E3" w:rsidR="00B212BB" w:rsidRDefault="00A5255B">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064B3">
      <w:rPr>
        <w:noProof/>
        <w:color w:val="000000"/>
      </w:rPr>
      <w:t>1</w:t>
    </w:r>
    <w:r>
      <w:rPr>
        <w:color w:val="000000"/>
      </w:rPr>
      <w:fldChar w:fldCharType="end"/>
    </w:r>
  </w:p>
  <w:p w14:paraId="000000EB" w14:textId="77777777" w:rsidR="00B212BB" w:rsidRDefault="00B212B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463F2" w14:textId="77777777" w:rsidR="00CA64F7" w:rsidRDefault="00CA64F7">
      <w:pPr>
        <w:spacing w:after="0" w:line="240" w:lineRule="auto"/>
      </w:pPr>
      <w:r>
        <w:separator/>
      </w:r>
    </w:p>
  </w:footnote>
  <w:footnote w:type="continuationSeparator" w:id="0">
    <w:p w14:paraId="07DE73D2" w14:textId="77777777" w:rsidR="00CA64F7" w:rsidRDefault="00CA64F7">
      <w:pPr>
        <w:spacing w:after="0" w:line="240" w:lineRule="auto"/>
      </w:pPr>
      <w:r>
        <w:continuationSeparator/>
      </w:r>
    </w:p>
  </w:footnote>
  <w:footnote w:id="1">
    <w:p w14:paraId="000000E3" w14:textId="77777777" w:rsidR="00B212BB" w:rsidRDefault="00A5255B">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1">
        <w:r>
          <w:rPr>
            <w:color w:val="0563C1"/>
            <w:sz w:val="20"/>
            <w:szCs w:val="20"/>
            <w:u w:val="single"/>
          </w:rPr>
          <w:t>https://www.regione.emilia-romagna.it/pattolavoroeclima</w:t>
        </w:r>
      </w:hyperlink>
      <w:r>
        <w:rPr>
          <w:color w:val="000000"/>
          <w:sz w:val="20"/>
          <w:szCs w:val="20"/>
        </w:rPr>
        <w:t xml:space="preserve"> </w:t>
      </w:r>
    </w:p>
  </w:footnote>
  <w:footnote w:id="2">
    <w:p w14:paraId="000000E4" w14:textId="77777777" w:rsidR="00B212BB" w:rsidRDefault="00A5255B">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2">
        <w:r>
          <w:rPr>
            <w:color w:val="0563C1"/>
            <w:sz w:val="18"/>
            <w:szCs w:val="18"/>
            <w:u w:val="single"/>
          </w:rPr>
          <w:t>https://ambiente.regione.emilia-romagna.it/it/suolo-bacino/argomenti/difesa-della-costa/sicell-2006-2012/sicell-1</w:t>
        </w:r>
      </w:hyperlink>
      <w:r>
        <w:rPr>
          <w:color w:val="000000"/>
          <w:sz w:val="18"/>
          <w:szCs w:val="18"/>
        </w:rPr>
        <w:t xml:space="preserve">  (Sistema gestionale delle Celle Litoranee</w:t>
      </w:r>
      <w:r>
        <w:rPr>
          <w:color w:val="000000"/>
          <w:sz w:val="20"/>
          <w:szCs w:val="20"/>
        </w:rPr>
        <w:t>)</w:t>
      </w:r>
    </w:p>
  </w:footnote>
  <w:footnote w:id="3">
    <w:p w14:paraId="000000E5" w14:textId="77777777" w:rsidR="00B212BB" w:rsidRDefault="00A5255B">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r:id="rId3">
        <w:r>
          <w:rPr>
            <w:color w:val="0563C1"/>
            <w:sz w:val="18"/>
            <w:szCs w:val="18"/>
            <w:u w:val="single"/>
          </w:rPr>
          <w:t>https://ambiente.regione.emilia-romagna.it/it/geologia/geologia/costa/sistema-informativo-del-mare-e-della-costa-sic</w:t>
        </w:r>
      </w:hyperlink>
      <w:r>
        <w:rPr>
          <w:color w:val="000000"/>
          <w:sz w:val="18"/>
          <w:szCs w:val="18"/>
        </w:rPr>
        <w:t xml:space="preserve"> (Sistema Informativo del Mare e della Costa)</w:t>
      </w:r>
    </w:p>
  </w:footnote>
  <w:footnote w:id="4">
    <w:p w14:paraId="000000E6" w14:textId="77777777" w:rsidR="00B212BB" w:rsidRDefault="00A5255B">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18"/>
          <w:szCs w:val="18"/>
        </w:rPr>
        <w:t>Attualmente con riferimento a DM 173/2016, Dlgs 152/2006, L 156/2021</w:t>
      </w:r>
    </w:p>
  </w:footnote>
  <w:footnote w:id="5">
    <w:p w14:paraId="000000E7" w14:textId="77777777" w:rsidR="00B212BB" w:rsidRDefault="00A5255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Es</w:t>
      </w:r>
      <w:r>
        <w:rPr>
          <w:color w:val="000000"/>
          <w:sz w:val="18"/>
          <w:szCs w:val="18"/>
        </w:rPr>
        <w:t>. sovralzo del livello marino durante le mareggiate, effetti erosivi sottoflutto, approfondimento al piede lato mare, approfondimento dei canali di deflusso in corrispondenza dei varchi fra le opere, ecc</w:t>
      </w:r>
      <w:r>
        <w:rPr>
          <w:color w:val="000000"/>
          <w:sz w:val="20"/>
          <w:szCs w:val="20"/>
        </w:rPr>
        <w:t xml:space="preserve">. </w:t>
      </w:r>
    </w:p>
  </w:footnote>
  <w:footnote w:id="6">
    <w:p w14:paraId="000000E8" w14:textId="77777777" w:rsidR="00B212BB" w:rsidRDefault="00A5255B">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RD n. 523/1904 e </w:t>
      </w:r>
      <w:proofErr w:type="spellStart"/>
      <w:r>
        <w:rPr>
          <w:color w:val="000000"/>
          <w:sz w:val="20"/>
          <w:szCs w:val="20"/>
        </w:rPr>
        <w:t>s.m.i.</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9" w14:textId="076926A0" w:rsidR="00B212BB" w:rsidRDefault="00A5255B">
    <w:pPr>
      <w:pBdr>
        <w:top w:val="nil"/>
        <w:left w:val="nil"/>
        <w:bottom w:val="nil"/>
        <w:right w:val="nil"/>
        <w:between w:val="nil"/>
      </w:pBdr>
      <w:tabs>
        <w:tab w:val="center" w:pos="4819"/>
        <w:tab w:val="right" w:pos="9638"/>
      </w:tabs>
      <w:spacing w:after="0" w:line="240" w:lineRule="auto"/>
      <w:jc w:val="right"/>
      <w:rPr>
        <w:color w:val="000000"/>
      </w:rPr>
    </w:pPr>
    <w:r>
      <w:rPr>
        <w:color w:val="808080"/>
        <w:sz w:val="28"/>
        <w:szCs w:val="28"/>
      </w:rPr>
      <w:t xml:space="preserve">Strategia GIDAC - </w:t>
    </w:r>
    <w:r>
      <w:rPr>
        <w:b/>
        <w:color w:val="808080"/>
        <w:sz w:val="28"/>
        <w:szCs w:val="28"/>
      </w:rPr>
      <w:t>Parte C</w:t>
    </w:r>
    <w:r>
      <w:rPr>
        <w:color w:val="808080"/>
        <w:sz w:val="28"/>
        <w:szCs w:val="28"/>
      </w:rPr>
      <w:t xml:space="preserve"> Indirizzi</w:t>
    </w:r>
    <w:r>
      <w:rPr>
        <w:color w:val="808080"/>
      </w:rPr>
      <w:t xml:space="preserve"> </w:t>
    </w:r>
    <w:r>
      <w:rPr>
        <w:color w:val="000000"/>
      </w:rPr>
      <w:tab/>
    </w:r>
    <w:r>
      <w:rPr>
        <w:color w:val="000000"/>
      </w:rPr>
      <w:tab/>
    </w:r>
    <w:r w:rsidR="00CA64F7">
      <w:rPr>
        <w:color w:val="000000"/>
      </w:rPr>
      <w:pict w14:anchorId="2A4A68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left:0;text-align:left;margin-left:0;margin-top:0;width:611.35pt;height:67.9pt;rotation:315;z-index:-251658752;visibility:visible;mso-position-horizontal:center;mso-position-horizontal-relative:margin;mso-position-vertical:center;mso-position-vertical-relative:margin" fillcolor="silver" stroked="f">
          <v:fill opacity=".5"/>
          <v:textpath style="font-family:&quot;&amp;quot&quot;;font-size:1pt" string="BOZZA IN PROGRESS AD USO INTERNO"/>
          <w10:wrap anchorx="margin" anchory="margin"/>
        </v:shape>
      </w:pict>
    </w:r>
    <w:r>
      <w:rPr>
        <w:color w:val="808080"/>
      </w:rPr>
      <w:t>v.13-01-2022_bozza</w:t>
    </w:r>
    <w:r w:rsidR="008064B3">
      <w:rPr>
        <w:color w:val="808080"/>
      </w:rPr>
      <w:t>_scaricatadrive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836C6"/>
    <w:multiLevelType w:val="multilevel"/>
    <w:tmpl w:val="F4921A3A"/>
    <w:lvl w:ilvl="0">
      <w:start w:val="1"/>
      <w:numFmt w:val="lowerLetter"/>
      <w:lvlText w:val="%1)"/>
      <w:lvlJc w:val="left"/>
      <w:pPr>
        <w:ind w:left="862" w:hanging="360"/>
      </w:p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 w15:restartNumberingAfterBreak="0">
    <w:nsid w:val="455753C5"/>
    <w:multiLevelType w:val="multilevel"/>
    <w:tmpl w:val="E59635C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805605B"/>
    <w:multiLevelType w:val="multilevel"/>
    <w:tmpl w:val="80F22DC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6E052A0"/>
    <w:multiLevelType w:val="multilevel"/>
    <w:tmpl w:val="FA94B744"/>
    <w:lvl w:ilvl="0">
      <w:start w:val="270"/>
      <w:numFmt w:val="bullet"/>
      <w:lvlText w:val="&gt;"/>
      <w:lvlJc w:val="left"/>
      <w:pPr>
        <w:ind w:left="862" w:hanging="360"/>
      </w:pPr>
      <w:rPr>
        <w:rFonts w:ascii="Calibri" w:eastAsia="Calibri" w:hAnsi="Calibri" w:cs="Calibri"/>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283"/>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2BB"/>
    <w:rsid w:val="002C10CE"/>
    <w:rsid w:val="008064B3"/>
    <w:rsid w:val="00A5255B"/>
    <w:rsid w:val="00B212BB"/>
    <w:rsid w:val="00CA64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78CDA34"/>
  <w15:docId w15:val="{51DAF7B9-EA99-4206-A7EF-B5ADA3878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66AC5"/>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Testonotaapidipagina">
    <w:name w:val="footnote text"/>
    <w:basedOn w:val="Normale"/>
    <w:link w:val="TestonotaapidipaginaCarattere"/>
    <w:uiPriority w:val="99"/>
    <w:unhideWhenUsed/>
    <w:rsid w:val="002E0BA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2E0BAE"/>
    <w:rPr>
      <w:sz w:val="20"/>
      <w:szCs w:val="20"/>
    </w:rPr>
  </w:style>
  <w:style w:type="character" w:styleId="Rimandonotaapidipagina">
    <w:name w:val="footnote reference"/>
    <w:basedOn w:val="Carpredefinitoparagrafo"/>
    <w:uiPriority w:val="99"/>
    <w:semiHidden/>
    <w:unhideWhenUsed/>
    <w:rsid w:val="002E0BAE"/>
    <w:rPr>
      <w:vertAlign w:val="superscript"/>
    </w:rPr>
  </w:style>
  <w:style w:type="character" w:styleId="Collegamentoipertestuale">
    <w:name w:val="Hyperlink"/>
    <w:basedOn w:val="Carpredefinitoparagrafo"/>
    <w:uiPriority w:val="99"/>
    <w:unhideWhenUsed/>
    <w:rsid w:val="002E0BAE"/>
    <w:rPr>
      <w:color w:val="0563C1" w:themeColor="hyperlink"/>
      <w:u w:val="single"/>
    </w:rPr>
  </w:style>
  <w:style w:type="paragraph" w:styleId="Paragrafoelenco">
    <w:name w:val="List Paragraph"/>
    <w:aliases w:val="Table of contents numbered,Elenco num ARGEA,body,Odsek zoznamu2"/>
    <w:basedOn w:val="Normale"/>
    <w:link w:val="ParagrafoelencoCarattere"/>
    <w:uiPriority w:val="99"/>
    <w:qFormat/>
    <w:rsid w:val="003C1898"/>
    <w:pPr>
      <w:ind w:left="720"/>
      <w:contextualSpacing/>
    </w:pPr>
  </w:style>
  <w:style w:type="character" w:customStyle="1" w:styleId="ParagrafoelencoCarattere">
    <w:name w:val="Paragrafo elenco Carattere"/>
    <w:aliases w:val="Table of contents numbered Carattere,Elenco num ARGEA Carattere,body Carattere,Odsek zoznamu2 Carattere"/>
    <w:link w:val="Paragrafoelenco"/>
    <w:uiPriority w:val="99"/>
    <w:locked/>
    <w:rsid w:val="007239BB"/>
  </w:style>
  <w:style w:type="character" w:styleId="Menzionenonrisolta">
    <w:name w:val="Unresolved Mention"/>
    <w:basedOn w:val="Carpredefinitoparagrafo"/>
    <w:uiPriority w:val="99"/>
    <w:semiHidden/>
    <w:unhideWhenUsed/>
    <w:rsid w:val="00C221BF"/>
    <w:rPr>
      <w:color w:val="605E5C"/>
      <w:shd w:val="clear" w:color="auto" w:fill="E1DFDD"/>
    </w:rPr>
  </w:style>
  <w:style w:type="paragraph" w:styleId="Intestazione">
    <w:name w:val="header"/>
    <w:basedOn w:val="Normale"/>
    <w:link w:val="IntestazioneCarattere"/>
    <w:uiPriority w:val="99"/>
    <w:unhideWhenUsed/>
    <w:rsid w:val="00AD426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D426D"/>
  </w:style>
  <w:style w:type="paragraph" w:styleId="Pidipagina">
    <w:name w:val="footer"/>
    <w:basedOn w:val="Normale"/>
    <w:link w:val="PidipaginaCarattere"/>
    <w:uiPriority w:val="99"/>
    <w:unhideWhenUsed/>
    <w:rsid w:val="00AD426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D426D"/>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ambiente.regione.emilia-romagna.it/it/geologia/geologia/costa/sistema-informativo-del-mare-e-della-costa-sic" TargetMode="External"/><Relationship Id="rId2" Type="http://schemas.openxmlformats.org/officeDocument/2006/relationships/hyperlink" Target="https://ambiente.regione.emilia-romagna.it/it/suolo-bacino/argomenti/difesa-della-costa/sicell-2006-2012/sicell-1" TargetMode="External"/><Relationship Id="rId1" Type="http://schemas.openxmlformats.org/officeDocument/2006/relationships/hyperlink" Target="https://www.regione.emilia-romagna.it/pattolavoroeclim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3OIwEsLH6ZJiOszYzRxx4cnxUg==">AMUW2mUL5QJT4LNr87B1QFT2z6YVuTh1d3uuWwQfwSQmr9zMo5rwgZz0/EXxAD1BWI70iDEAfe11SCYrPQEAfU/8b2XeY+sEQSN/M9FUWTVrHtu+OEZCwVFVD6xsUc7xAtQKUxuOzuA42F/LXpWA54RJiHxauaZHrw==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11974</Words>
  <Characters>68252</Characters>
  <Application>Microsoft Office Word</Application>
  <DocSecurity>0</DocSecurity>
  <Lines>568</Lines>
  <Paragraphs>160</Paragraphs>
  <ScaleCrop>false</ScaleCrop>
  <Company/>
  <LinksUpToDate>false</LinksUpToDate>
  <CharactersWithSpaces>80066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Montanari Roberto - Serv.Difesa del Suolo, della Costa e Bonifica</dc:creator>
  <cp:lastModifiedBy>Caputo Stefania</cp:lastModifiedBy>
  <cp:revision>3</cp:revision>
  <dcterms:created xsi:type="dcterms:W3CDTF">2022-01-11T13:55:00Z</dcterms:created>
  <dcterms:modified xsi:type="dcterms:W3CDTF">2022-02-25T07:01:00Z</dcterms:modified>
</cp:coreProperties>
</file>